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C4" w:rsidRPr="007122C4" w:rsidRDefault="007122C4" w:rsidP="007122C4">
      <w:pPr>
        <w:tabs>
          <w:tab w:val="left" w:pos="2835"/>
        </w:tabs>
        <w:spacing w:after="120" w:line="460" w:lineRule="exact"/>
        <w:ind w:firstLine="2835"/>
        <w:jc w:val="right"/>
        <w:rPr>
          <w:rFonts w:cs="Arial"/>
          <w:spacing w:val="20"/>
          <w:position w:val="6"/>
          <w:szCs w:val="22"/>
        </w:rPr>
      </w:pPr>
      <w:r w:rsidRPr="007122C4">
        <w:rPr>
          <w:rFonts w:cs="Arial"/>
          <w:spacing w:val="20"/>
          <w:position w:val="6"/>
          <w:szCs w:val="22"/>
        </w:rPr>
        <w:t xml:space="preserve">Brasília, </w:t>
      </w:r>
      <w:r w:rsidR="009E48FE">
        <w:rPr>
          <w:rFonts w:cs="Arial"/>
          <w:spacing w:val="20"/>
          <w:position w:val="6"/>
          <w:szCs w:val="22"/>
        </w:rPr>
        <w:t>9</w:t>
      </w:r>
      <w:r w:rsidRPr="007122C4">
        <w:rPr>
          <w:rFonts w:cs="Arial"/>
          <w:spacing w:val="20"/>
          <w:position w:val="6"/>
          <w:szCs w:val="22"/>
        </w:rPr>
        <w:t xml:space="preserve"> de </w:t>
      </w:r>
      <w:r w:rsidR="009E48FE">
        <w:rPr>
          <w:rFonts w:cs="Arial"/>
          <w:spacing w:val="20"/>
          <w:position w:val="6"/>
          <w:szCs w:val="22"/>
        </w:rPr>
        <w:t>fever</w:t>
      </w:r>
      <w:r w:rsidRPr="007122C4">
        <w:rPr>
          <w:rFonts w:cs="Arial"/>
          <w:spacing w:val="20"/>
          <w:position w:val="6"/>
          <w:szCs w:val="22"/>
        </w:rPr>
        <w:t>eiro de 2.017.</w:t>
      </w:r>
    </w:p>
    <w:p w:rsidR="007122C4" w:rsidRDefault="007122C4" w:rsidP="007122C4">
      <w:pPr>
        <w:tabs>
          <w:tab w:val="left" w:pos="2835"/>
        </w:tabs>
        <w:spacing w:after="120" w:line="460" w:lineRule="exact"/>
        <w:jc w:val="both"/>
        <w:rPr>
          <w:rFonts w:cs="Arial"/>
          <w:spacing w:val="20"/>
          <w:position w:val="6"/>
          <w:szCs w:val="22"/>
        </w:rPr>
      </w:pPr>
    </w:p>
    <w:p w:rsidR="007122C4" w:rsidRPr="007122C4" w:rsidRDefault="007122C4" w:rsidP="007122C4">
      <w:pPr>
        <w:tabs>
          <w:tab w:val="left" w:pos="2835"/>
        </w:tabs>
        <w:spacing w:after="120" w:line="460" w:lineRule="exact"/>
        <w:jc w:val="both"/>
        <w:rPr>
          <w:rFonts w:cs="Arial"/>
          <w:spacing w:val="20"/>
          <w:position w:val="6"/>
          <w:szCs w:val="22"/>
        </w:rPr>
      </w:pPr>
      <w:r w:rsidRPr="007122C4">
        <w:rPr>
          <w:rFonts w:cs="Arial"/>
          <w:spacing w:val="20"/>
          <w:position w:val="6"/>
          <w:szCs w:val="22"/>
        </w:rPr>
        <w:t xml:space="preserve">Ao Ilmo. Sr. </w:t>
      </w:r>
    </w:p>
    <w:p w:rsidR="007122C4" w:rsidRPr="007122C4" w:rsidRDefault="007122C4" w:rsidP="007122C4">
      <w:pPr>
        <w:tabs>
          <w:tab w:val="left" w:pos="2835"/>
        </w:tabs>
        <w:spacing w:after="120" w:line="460" w:lineRule="exact"/>
        <w:jc w:val="both"/>
        <w:rPr>
          <w:rFonts w:cs="Arial"/>
          <w:b/>
          <w:spacing w:val="20"/>
          <w:position w:val="6"/>
          <w:szCs w:val="22"/>
        </w:rPr>
      </w:pPr>
      <w:r w:rsidRPr="007122C4">
        <w:rPr>
          <w:rFonts w:cs="Arial"/>
          <w:b/>
          <w:spacing w:val="20"/>
          <w:position w:val="6"/>
          <w:szCs w:val="22"/>
        </w:rPr>
        <w:t>Lourenço Ferreira do Prado</w:t>
      </w:r>
    </w:p>
    <w:p w:rsidR="007122C4" w:rsidRPr="007122C4" w:rsidRDefault="007122C4" w:rsidP="007122C4">
      <w:pPr>
        <w:tabs>
          <w:tab w:val="left" w:pos="2835"/>
        </w:tabs>
        <w:spacing w:after="120" w:line="460" w:lineRule="exact"/>
        <w:jc w:val="both"/>
        <w:rPr>
          <w:rFonts w:cs="Arial"/>
          <w:b/>
          <w:spacing w:val="20"/>
          <w:position w:val="6"/>
          <w:szCs w:val="22"/>
        </w:rPr>
      </w:pPr>
      <w:r w:rsidRPr="007122C4">
        <w:rPr>
          <w:rFonts w:cs="Arial"/>
          <w:b/>
          <w:spacing w:val="20"/>
          <w:position w:val="6"/>
          <w:szCs w:val="22"/>
        </w:rPr>
        <w:t>Presidente da CONTEC</w:t>
      </w:r>
    </w:p>
    <w:p w:rsidR="007122C4" w:rsidRDefault="007122C4" w:rsidP="007122C4">
      <w:pPr>
        <w:tabs>
          <w:tab w:val="left" w:pos="2835"/>
        </w:tabs>
        <w:spacing w:after="120" w:line="460" w:lineRule="exact"/>
        <w:jc w:val="both"/>
        <w:rPr>
          <w:rFonts w:cs="Arial"/>
          <w:spacing w:val="20"/>
          <w:position w:val="6"/>
          <w:szCs w:val="22"/>
        </w:rPr>
      </w:pPr>
    </w:p>
    <w:p w:rsidR="009E48FE" w:rsidRDefault="007122C4" w:rsidP="009E48FE">
      <w:pPr>
        <w:spacing w:after="120" w:line="460" w:lineRule="exact"/>
        <w:jc w:val="both"/>
        <w:rPr>
          <w:rFonts w:cs="Arial"/>
          <w:spacing w:val="20"/>
          <w:position w:val="6"/>
          <w:szCs w:val="22"/>
        </w:rPr>
      </w:pPr>
      <w:r w:rsidRPr="007122C4">
        <w:rPr>
          <w:rFonts w:cs="Arial"/>
          <w:spacing w:val="20"/>
          <w:position w:val="6"/>
          <w:szCs w:val="22"/>
        </w:rPr>
        <w:t xml:space="preserve">Ref.: </w:t>
      </w:r>
      <w:r w:rsidR="009E48FE">
        <w:rPr>
          <w:rFonts w:cs="Arial"/>
          <w:spacing w:val="20"/>
          <w:position w:val="6"/>
          <w:szCs w:val="22"/>
        </w:rPr>
        <w:t>Parecer sobre Plano de Demissão Voluntária Extraordinária – PDVE da CEF e validade das ressalvas nos termos de rescisões contratuais em face da decisão do STF no RE n.° 590.415 – SC.</w:t>
      </w:r>
    </w:p>
    <w:p w:rsidR="009E48FE" w:rsidRDefault="009E48FE" w:rsidP="009E48FE">
      <w:pPr>
        <w:spacing w:after="120" w:line="460" w:lineRule="exact"/>
        <w:jc w:val="both"/>
        <w:rPr>
          <w:rFonts w:cs="Arial"/>
          <w:spacing w:val="20"/>
          <w:position w:val="6"/>
          <w:szCs w:val="22"/>
        </w:rPr>
      </w:pPr>
    </w:p>
    <w:p w:rsidR="009E48FE" w:rsidRDefault="009E48FE" w:rsidP="009E48FE">
      <w:pPr>
        <w:spacing w:after="120" w:line="460" w:lineRule="exact"/>
        <w:ind w:firstLine="2835"/>
        <w:jc w:val="both"/>
        <w:rPr>
          <w:rFonts w:cs="Arial"/>
          <w:spacing w:val="20"/>
          <w:position w:val="6"/>
          <w:szCs w:val="22"/>
        </w:rPr>
      </w:pPr>
      <w:r>
        <w:rPr>
          <w:rFonts w:cs="Arial"/>
          <w:spacing w:val="20"/>
          <w:position w:val="6"/>
          <w:szCs w:val="22"/>
        </w:rPr>
        <w:t>No final da manhã de ontem</w:t>
      </w:r>
      <w:r w:rsidR="00085332">
        <w:rPr>
          <w:rFonts w:cs="Arial"/>
          <w:spacing w:val="20"/>
          <w:position w:val="6"/>
          <w:szCs w:val="22"/>
        </w:rPr>
        <w:t>,</w:t>
      </w:r>
      <w:r>
        <w:rPr>
          <w:rFonts w:cs="Arial"/>
          <w:spacing w:val="20"/>
          <w:position w:val="6"/>
          <w:szCs w:val="22"/>
        </w:rPr>
        <w:t xml:space="preserve"> a CONTEC encaminhou e-mail com a seguinte solicitação</w:t>
      </w:r>
      <w:r w:rsidR="006537D4">
        <w:rPr>
          <w:rFonts w:cs="Arial"/>
          <w:spacing w:val="20"/>
          <w:position w:val="6"/>
          <w:szCs w:val="22"/>
        </w:rPr>
        <w:t xml:space="preserve"> urgente</w:t>
      </w:r>
      <w:r>
        <w:rPr>
          <w:rFonts w:cs="Arial"/>
          <w:spacing w:val="20"/>
          <w:position w:val="6"/>
          <w:szCs w:val="22"/>
        </w:rPr>
        <w:t xml:space="preserve"> de parecer: </w:t>
      </w:r>
      <w:r w:rsidRPr="009E48FE">
        <w:rPr>
          <w:rFonts w:cs="Arial"/>
          <w:i/>
          <w:spacing w:val="20"/>
          <w:position w:val="6"/>
          <w:szCs w:val="22"/>
        </w:rPr>
        <w:t>“A CONTEC está recebendo consultas sobre a validade das ressalvas nos termos de rescisão contratual, dos  empregados da CAIXA, em virtude de o Supremo Tribunal Federal no RE 590.415 SC (conhecido como caso BESC), haver assentado que a cláusula de quitação geral, constante do Acordo Coletivo SEEB SC X BESC,  prevalece em face  da lei vigente. As costumeiras ressalvas registradas nas sobreditas rescisões, no ato de homologação, prevalecem ou não?”</w:t>
      </w:r>
    </w:p>
    <w:p w:rsidR="009E48FE" w:rsidRDefault="009E48FE" w:rsidP="007122C4">
      <w:pPr>
        <w:spacing w:after="120" w:line="460" w:lineRule="exact"/>
        <w:jc w:val="both"/>
        <w:rPr>
          <w:rFonts w:cs="Arial"/>
          <w:spacing w:val="20"/>
          <w:position w:val="6"/>
          <w:szCs w:val="22"/>
        </w:rPr>
      </w:pPr>
    </w:p>
    <w:p w:rsidR="004C47C7" w:rsidRDefault="004C47C7" w:rsidP="004C47C7">
      <w:pPr>
        <w:spacing w:after="120" w:line="460" w:lineRule="exact"/>
        <w:ind w:firstLine="2835"/>
        <w:jc w:val="both"/>
        <w:rPr>
          <w:rFonts w:cs="Arial"/>
          <w:spacing w:val="20"/>
          <w:position w:val="6"/>
          <w:szCs w:val="22"/>
        </w:rPr>
      </w:pPr>
      <w:r>
        <w:rPr>
          <w:rFonts w:cs="Arial"/>
          <w:spacing w:val="20"/>
          <w:position w:val="6"/>
          <w:szCs w:val="22"/>
        </w:rPr>
        <w:t>Em sequência, a CONTEC informou que não foi firmado qualquer instrumento coletivo aprovando o PDVE e estipulando a quitação ampla e irrestrita do contrato de trabalho.</w:t>
      </w:r>
    </w:p>
    <w:p w:rsidR="004C47C7" w:rsidRDefault="004C47C7" w:rsidP="004C47C7">
      <w:pPr>
        <w:spacing w:after="120" w:line="460" w:lineRule="exact"/>
        <w:ind w:firstLine="2835"/>
        <w:jc w:val="both"/>
        <w:rPr>
          <w:rFonts w:cs="Arial"/>
          <w:spacing w:val="20"/>
          <w:position w:val="6"/>
          <w:szCs w:val="22"/>
        </w:rPr>
      </w:pPr>
    </w:p>
    <w:p w:rsidR="004C47C7" w:rsidRDefault="004C47C7" w:rsidP="004C47C7">
      <w:pPr>
        <w:spacing w:after="120" w:line="460" w:lineRule="exact"/>
        <w:ind w:firstLine="2835"/>
        <w:jc w:val="both"/>
        <w:rPr>
          <w:rFonts w:cs="Arial"/>
          <w:spacing w:val="20"/>
          <w:position w:val="6"/>
          <w:szCs w:val="22"/>
        </w:rPr>
      </w:pPr>
      <w:r>
        <w:rPr>
          <w:rFonts w:cs="Arial"/>
          <w:spacing w:val="20"/>
          <w:position w:val="6"/>
          <w:szCs w:val="22"/>
        </w:rPr>
        <w:t xml:space="preserve">Até o momento, não foi encaminhado o termo de adesão do trabalhador ao PDVE, no qual presumo que conste a quitação ampla e irrestrita do contrato de trabalho. Presunção essa que decorre da </w:t>
      </w:r>
      <w:r>
        <w:rPr>
          <w:rFonts w:cs="Arial"/>
          <w:spacing w:val="20"/>
          <w:position w:val="6"/>
          <w:szCs w:val="22"/>
        </w:rPr>
        <w:lastRenderedPageBreak/>
        <w:t>experiência oriunda de outros planos de demissão instituídos por outros bancos e empresas.</w:t>
      </w:r>
    </w:p>
    <w:p w:rsidR="004C47C7" w:rsidRDefault="004C47C7" w:rsidP="007122C4">
      <w:pPr>
        <w:spacing w:after="120" w:line="460" w:lineRule="exact"/>
        <w:jc w:val="both"/>
        <w:rPr>
          <w:rFonts w:cs="Arial"/>
          <w:spacing w:val="20"/>
          <w:position w:val="6"/>
          <w:szCs w:val="22"/>
        </w:rPr>
      </w:pPr>
    </w:p>
    <w:p w:rsidR="004C47C7" w:rsidRDefault="004C47C7" w:rsidP="004C47C7">
      <w:pPr>
        <w:spacing w:after="120" w:line="460" w:lineRule="exact"/>
        <w:ind w:firstLine="2835"/>
        <w:jc w:val="both"/>
        <w:rPr>
          <w:rFonts w:cs="Arial"/>
          <w:spacing w:val="20"/>
          <w:position w:val="6"/>
          <w:szCs w:val="22"/>
        </w:rPr>
      </w:pPr>
      <w:r>
        <w:rPr>
          <w:rFonts w:cs="Arial"/>
          <w:spacing w:val="20"/>
          <w:position w:val="6"/>
          <w:szCs w:val="22"/>
        </w:rPr>
        <w:t>Daí segue que esse parecer está baseado na presunção acima</w:t>
      </w:r>
      <w:r w:rsidR="005C7811">
        <w:rPr>
          <w:rFonts w:cs="Arial"/>
          <w:spacing w:val="20"/>
          <w:position w:val="6"/>
          <w:szCs w:val="22"/>
        </w:rPr>
        <w:t xml:space="preserve"> em virtude da urgência solicitada</w:t>
      </w:r>
      <w:r>
        <w:rPr>
          <w:rFonts w:cs="Arial"/>
          <w:spacing w:val="20"/>
          <w:position w:val="6"/>
          <w:szCs w:val="22"/>
        </w:rPr>
        <w:t xml:space="preserve">, podendo ser elaborado estudo mais específico quando </w:t>
      </w:r>
      <w:r w:rsidR="006537D4">
        <w:rPr>
          <w:rFonts w:cs="Arial"/>
          <w:spacing w:val="20"/>
          <w:position w:val="6"/>
          <w:szCs w:val="22"/>
        </w:rPr>
        <w:t xml:space="preserve">for </w:t>
      </w:r>
      <w:r>
        <w:rPr>
          <w:rFonts w:cs="Arial"/>
          <w:spacing w:val="20"/>
          <w:position w:val="6"/>
          <w:szCs w:val="22"/>
        </w:rPr>
        <w:t>encaminhado o termo de adesão do trabalhador ao PDVE.</w:t>
      </w:r>
    </w:p>
    <w:p w:rsidR="004C47C7" w:rsidRDefault="004C47C7" w:rsidP="007122C4">
      <w:pPr>
        <w:spacing w:after="120" w:line="460" w:lineRule="exact"/>
        <w:jc w:val="both"/>
        <w:rPr>
          <w:rFonts w:cs="Arial"/>
          <w:spacing w:val="20"/>
          <w:position w:val="6"/>
          <w:szCs w:val="22"/>
        </w:rPr>
      </w:pPr>
    </w:p>
    <w:p w:rsidR="009E48FE" w:rsidRDefault="004C47C7" w:rsidP="009E48FE">
      <w:pPr>
        <w:spacing w:after="120" w:line="460" w:lineRule="exact"/>
        <w:ind w:firstLine="2835"/>
        <w:jc w:val="both"/>
        <w:rPr>
          <w:rFonts w:cs="Arial"/>
          <w:spacing w:val="20"/>
          <w:position w:val="6"/>
          <w:szCs w:val="22"/>
        </w:rPr>
      </w:pPr>
      <w:r>
        <w:rPr>
          <w:rFonts w:cs="Arial"/>
          <w:spacing w:val="20"/>
          <w:position w:val="6"/>
          <w:szCs w:val="22"/>
        </w:rPr>
        <w:t>Ultrapassada essa questão</w:t>
      </w:r>
      <w:r w:rsidR="009E48FE">
        <w:rPr>
          <w:rFonts w:cs="Arial"/>
          <w:spacing w:val="20"/>
          <w:position w:val="6"/>
          <w:szCs w:val="22"/>
        </w:rPr>
        <w:t>, cumpre</w:t>
      </w:r>
      <w:r w:rsidR="005C7811">
        <w:rPr>
          <w:rFonts w:cs="Arial"/>
          <w:spacing w:val="20"/>
          <w:position w:val="6"/>
          <w:szCs w:val="22"/>
        </w:rPr>
        <w:t xml:space="preserve"> inicialmente </w:t>
      </w:r>
      <w:r w:rsidR="009E48FE">
        <w:rPr>
          <w:rFonts w:cs="Arial"/>
          <w:spacing w:val="20"/>
          <w:position w:val="6"/>
          <w:szCs w:val="22"/>
        </w:rPr>
        <w:t>esclarecer que a decisão do STF no RE n.° 590.415 – SC reconheceu a validade de acordo coletivo de trabalho firmado entre o SEEB/SC e o BESC, o qual instituiu PDV e previu ampla e irrestrita quitação do contrato de trabalho.</w:t>
      </w:r>
    </w:p>
    <w:p w:rsidR="009E48FE" w:rsidRDefault="009E48FE" w:rsidP="009E48FE">
      <w:pPr>
        <w:spacing w:after="120" w:line="460" w:lineRule="exact"/>
        <w:ind w:firstLine="2835"/>
        <w:jc w:val="both"/>
        <w:rPr>
          <w:rFonts w:cs="Arial"/>
          <w:spacing w:val="20"/>
          <w:position w:val="6"/>
          <w:szCs w:val="22"/>
        </w:rPr>
      </w:pPr>
    </w:p>
    <w:p w:rsidR="009E48FE" w:rsidRPr="0082220A" w:rsidRDefault="009343AF" w:rsidP="0082220A">
      <w:pPr>
        <w:spacing w:after="120" w:line="460" w:lineRule="exact"/>
        <w:ind w:firstLine="2835"/>
        <w:jc w:val="both"/>
        <w:rPr>
          <w:rFonts w:cs="Arial"/>
          <w:spacing w:val="20"/>
          <w:position w:val="6"/>
          <w:szCs w:val="22"/>
        </w:rPr>
      </w:pPr>
      <w:r>
        <w:rPr>
          <w:rFonts w:cs="Arial"/>
          <w:spacing w:val="20"/>
          <w:position w:val="6"/>
          <w:szCs w:val="22"/>
        </w:rPr>
        <w:t>A</w:t>
      </w:r>
      <w:r w:rsidR="009E48FE">
        <w:rPr>
          <w:rFonts w:cs="Arial"/>
          <w:spacing w:val="20"/>
          <w:position w:val="6"/>
          <w:szCs w:val="22"/>
        </w:rPr>
        <w:t xml:space="preserve"> decisão do </w:t>
      </w:r>
      <w:r>
        <w:rPr>
          <w:rFonts w:cs="Arial"/>
          <w:spacing w:val="20"/>
          <w:position w:val="6"/>
          <w:szCs w:val="22"/>
        </w:rPr>
        <w:t xml:space="preserve">STF </w:t>
      </w:r>
      <w:r w:rsidR="0064091E">
        <w:rPr>
          <w:rFonts w:cs="Arial"/>
          <w:spacing w:val="20"/>
          <w:position w:val="6"/>
          <w:szCs w:val="22"/>
        </w:rPr>
        <w:t xml:space="preserve">firmou </w:t>
      </w:r>
      <w:r w:rsidR="005C7811">
        <w:rPr>
          <w:rFonts w:cs="Arial"/>
          <w:spacing w:val="20"/>
          <w:position w:val="6"/>
          <w:szCs w:val="22"/>
        </w:rPr>
        <w:t>a tese em sistema de repercussão geral</w:t>
      </w:r>
      <w:r w:rsidR="0082220A">
        <w:rPr>
          <w:rFonts w:cs="Arial"/>
          <w:spacing w:val="20"/>
          <w:position w:val="6"/>
          <w:szCs w:val="22"/>
        </w:rPr>
        <w:t xml:space="preserve"> de que </w:t>
      </w:r>
      <w:r w:rsidR="0082220A" w:rsidRPr="0082220A">
        <w:rPr>
          <w:rFonts w:cs="Arial"/>
          <w:i/>
          <w:spacing w:val="20"/>
          <w:position w:val="6"/>
          <w:szCs w:val="22"/>
        </w:rPr>
        <w:t>"</w:t>
      </w:r>
      <w:r w:rsidR="005C7811">
        <w:rPr>
          <w:rFonts w:cs="Arial"/>
          <w:i/>
          <w:spacing w:val="20"/>
          <w:position w:val="6"/>
          <w:szCs w:val="22"/>
        </w:rPr>
        <w:t>A</w:t>
      </w:r>
      <w:r w:rsidR="0082220A" w:rsidRPr="0082220A">
        <w:rPr>
          <w:rFonts w:cs="Arial"/>
          <w:i/>
          <w:spacing w:val="20"/>
          <w:position w:val="6"/>
          <w:szCs w:val="22"/>
        </w:rPr>
        <w:t xml:space="preserve"> transação extrajudicial que importa rescisão do contrato de trabalho, em razão de adesão voluntária do empregado a plano de dispensa incentivada, enseja quitação ampla e irrestrita de todas as parcelas objeto do contrato de emprego, caso </w:t>
      </w:r>
      <w:r w:rsidR="0082220A" w:rsidRPr="0082220A">
        <w:rPr>
          <w:rFonts w:cs="Arial"/>
          <w:b/>
          <w:i/>
          <w:spacing w:val="20"/>
          <w:position w:val="6"/>
          <w:szCs w:val="22"/>
        </w:rPr>
        <w:t>essa condição tenha constado expressamente do acordo coletivo que aprovou o plano</w:t>
      </w:r>
      <w:r w:rsidR="0082220A" w:rsidRPr="0082220A">
        <w:rPr>
          <w:rFonts w:cs="Arial"/>
          <w:i/>
          <w:spacing w:val="20"/>
          <w:position w:val="6"/>
          <w:szCs w:val="22"/>
        </w:rPr>
        <w:t xml:space="preserve">, bem como dos </w:t>
      </w:r>
      <w:r w:rsidR="0082220A" w:rsidRPr="0082220A">
        <w:rPr>
          <w:rFonts w:cs="Arial"/>
          <w:b/>
          <w:i/>
          <w:spacing w:val="20"/>
          <w:position w:val="6"/>
          <w:szCs w:val="22"/>
        </w:rPr>
        <w:t>demais instrumentos celebrados com o empregado</w:t>
      </w:r>
      <w:r w:rsidR="0082220A" w:rsidRPr="0082220A">
        <w:rPr>
          <w:rFonts w:cs="Arial"/>
          <w:i/>
          <w:spacing w:val="20"/>
          <w:position w:val="6"/>
          <w:szCs w:val="22"/>
        </w:rPr>
        <w:t>."</w:t>
      </w:r>
    </w:p>
    <w:p w:rsidR="009343AF" w:rsidRDefault="009343AF" w:rsidP="009E48FE">
      <w:pPr>
        <w:spacing w:after="120" w:line="460" w:lineRule="exact"/>
        <w:ind w:firstLine="2835"/>
        <w:jc w:val="both"/>
        <w:rPr>
          <w:rFonts w:cs="Arial"/>
          <w:spacing w:val="20"/>
          <w:position w:val="6"/>
          <w:szCs w:val="22"/>
        </w:rPr>
      </w:pPr>
    </w:p>
    <w:p w:rsidR="001B301C" w:rsidRDefault="001B301C" w:rsidP="009E48FE">
      <w:pPr>
        <w:spacing w:after="120" w:line="460" w:lineRule="exact"/>
        <w:ind w:firstLine="2835"/>
        <w:jc w:val="both"/>
        <w:rPr>
          <w:rFonts w:cs="Arial"/>
          <w:spacing w:val="20"/>
          <w:position w:val="6"/>
          <w:szCs w:val="22"/>
        </w:rPr>
      </w:pPr>
      <w:r>
        <w:rPr>
          <w:rFonts w:cs="Arial"/>
          <w:spacing w:val="20"/>
          <w:position w:val="6"/>
          <w:szCs w:val="22"/>
        </w:rPr>
        <w:t xml:space="preserve">O STF entendeu por privilegiar a autonomia de vontade coletiva, ante a atuação do ente sindical que equilibra a relação de </w:t>
      </w:r>
      <w:r w:rsidR="005C7811">
        <w:rPr>
          <w:rFonts w:cs="Arial"/>
          <w:spacing w:val="20"/>
          <w:position w:val="6"/>
          <w:szCs w:val="22"/>
        </w:rPr>
        <w:t>poder</w:t>
      </w:r>
      <w:r>
        <w:rPr>
          <w:rFonts w:cs="Arial"/>
          <w:spacing w:val="20"/>
          <w:position w:val="6"/>
          <w:szCs w:val="22"/>
        </w:rPr>
        <w:t xml:space="preserve"> entre o empregado e o trabalhador.</w:t>
      </w:r>
    </w:p>
    <w:p w:rsidR="001B301C" w:rsidRDefault="001B301C" w:rsidP="009E48FE">
      <w:pPr>
        <w:spacing w:after="120" w:line="460" w:lineRule="exact"/>
        <w:ind w:firstLine="2835"/>
        <w:jc w:val="both"/>
        <w:rPr>
          <w:rFonts w:cs="Arial"/>
          <w:spacing w:val="20"/>
          <w:position w:val="6"/>
          <w:szCs w:val="22"/>
        </w:rPr>
      </w:pPr>
    </w:p>
    <w:p w:rsidR="0082220A" w:rsidRDefault="0082220A" w:rsidP="009E48FE">
      <w:pPr>
        <w:spacing w:after="120" w:line="460" w:lineRule="exact"/>
        <w:ind w:firstLine="2835"/>
        <w:jc w:val="both"/>
        <w:rPr>
          <w:rFonts w:cs="Arial"/>
          <w:spacing w:val="20"/>
          <w:position w:val="6"/>
          <w:szCs w:val="22"/>
        </w:rPr>
      </w:pPr>
      <w:r>
        <w:rPr>
          <w:rFonts w:cs="Arial"/>
          <w:spacing w:val="20"/>
          <w:position w:val="6"/>
          <w:szCs w:val="22"/>
        </w:rPr>
        <w:t xml:space="preserve">No caso, </w:t>
      </w:r>
      <w:r w:rsidRPr="0082220A">
        <w:rPr>
          <w:rFonts w:cs="Arial"/>
          <w:b/>
          <w:spacing w:val="20"/>
          <w:position w:val="6"/>
          <w:szCs w:val="22"/>
        </w:rPr>
        <w:t xml:space="preserve">não houve celebração de instrumento coletivo de trabalho aprovando o PDVE e estabelecendo a condição de </w:t>
      </w:r>
      <w:r w:rsidRPr="0082220A">
        <w:rPr>
          <w:rFonts w:cs="Arial"/>
          <w:b/>
          <w:spacing w:val="20"/>
          <w:position w:val="6"/>
          <w:szCs w:val="22"/>
        </w:rPr>
        <w:lastRenderedPageBreak/>
        <w:t>quitação ampla e irrestrita do contrato de trabalho</w:t>
      </w:r>
      <w:r>
        <w:rPr>
          <w:rFonts w:cs="Arial"/>
          <w:spacing w:val="20"/>
          <w:position w:val="6"/>
          <w:szCs w:val="22"/>
        </w:rPr>
        <w:t>, como determina a decisão do STF.</w:t>
      </w:r>
    </w:p>
    <w:p w:rsidR="0082220A" w:rsidRDefault="0082220A" w:rsidP="009E48FE">
      <w:pPr>
        <w:spacing w:after="120" w:line="460" w:lineRule="exact"/>
        <w:ind w:firstLine="2835"/>
        <w:jc w:val="both"/>
        <w:rPr>
          <w:rFonts w:cs="Arial"/>
          <w:spacing w:val="20"/>
          <w:position w:val="6"/>
          <w:szCs w:val="22"/>
        </w:rPr>
      </w:pPr>
    </w:p>
    <w:p w:rsidR="0082220A" w:rsidRDefault="0082220A" w:rsidP="009E48FE">
      <w:pPr>
        <w:spacing w:after="120" w:line="460" w:lineRule="exact"/>
        <w:ind w:firstLine="2835"/>
        <w:jc w:val="both"/>
        <w:rPr>
          <w:rFonts w:cs="Arial"/>
          <w:spacing w:val="20"/>
          <w:position w:val="6"/>
          <w:szCs w:val="22"/>
        </w:rPr>
      </w:pPr>
      <w:r>
        <w:rPr>
          <w:rFonts w:cs="Arial"/>
          <w:spacing w:val="20"/>
          <w:position w:val="6"/>
          <w:szCs w:val="22"/>
        </w:rPr>
        <w:t>Logo, o precedente do STF firmado no sistema de repercussão geral não se aplica a hipótese em virtude do elemento de distinção supramencionado.</w:t>
      </w:r>
    </w:p>
    <w:p w:rsidR="0082220A" w:rsidRDefault="0082220A" w:rsidP="009E48FE">
      <w:pPr>
        <w:spacing w:after="120" w:line="460" w:lineRule="exact"/>
        <w:ind w:firstLine="2835"/>
        <w:jc w:val="both"/>
        <w:rPr>
          <w:rFonts w:cs="Arial"/>
          <w:spacing w:val="20"/>
          <w:position w:val="6"/>
          <w:szCs w:val="22"/>
        </w:rPr>
      </w:pPr>
    </w:p>
    <w:p w:rsidR="00D26AF7" w:rsidRDefault="00D26AF7" w:rsidP="00D26AF7">
      <w:pPr>
        <w:spacing w:after="120" w:line="460" w:lineRule="exact"/>
        <w:ind w:firstLine="2835"/>
        <w:jc w:val="both"/>
        <w:rPr>
          <w:rFonts w:cs="Arial"/>
          <w:spacing w:val="20"/>
          <w:position w:val="6"/>
          <w:szCs w:val="22"/>
        </w:rPr>
      </w:pPr>
      <w:r>
        <w:rPr>
          <w:rFonts w:cs="Arial"/>
          <w:spacing w:val="20"/>
          <w:position w:val="6"/>
          <w:szCs w:val="22"/>
        </w:rPr>
        <w:t xml:space="preserve">Esse caminho tem sido trilhado pela jurisprudência </w:t>
      </w:r>
      <w:r w:rsidRPr="00D26AF7">
        <w:rPr>
          <w:rFonts w:cs="Arial"/>
          <w:b/>
          <w:spacing w:val="20"/>
          <w:position w:val="6"/>
          <w:szCs w:val="22"/>
        </w:rPr>
        <w:t>majoritária</w:t>
      </w:r>
      <w:r>
        <w:rPr>
          <w:rFonts w:cs="Arial"/>
          <w:spacing w:val="20"/>
          <w:position w:val="6"/>
          <w:szCs w:val="22"/>
        </w:rPr>
        <w:t xml:space="preserve"> do TST, a qual tem aplicado a Orientação Jurisprudencial n.° 270, da SBDI-1, para não reconhecer a quitação ampla e irrestrita do contrato de trabalho</w:t>
      </w:r>
      <w:r w:rsidR="00605E84">
        <w:rPr>
          <w:rFonts w:cs="Arial"/>
          <w:spacing w:val="20"/>
          <w:position w:val="6"/>
          <w:szCs w:val="22"/>
        </w:rPr>
        <w:t>,</w:t>
      </w:r>
      <w:r>
        <w:rPr>
          <w:rFonts w:cs="Arial"/>
          <w:spacing w:val="20"/>
          <w:position w:val="6"/>
          <w:szCs w:val="22"/>
        </w:rPr>
        <w:t xml:space="preserve"> decorrente de adesão </w:t>
      </w:r>
      <w:r w:rsidR="005C7811">
        <w:rPr>
          <w:rFonts w:cs="Arial"/>
          <w:spacing w:val="20"/>
          <w:position w:val="6"/>
          <w:szCs w:val="22"/>
        </w:rPr>
        <w:t>ao</w:t>
      </w:r>
      <w:r>
        <w:rPr>
          <w:rFonts w:cs="Arial"/>
          <w:spacing w:val="20"/>
          <w:position w:val="6"/>
          <w:szCs w:val="22"/>
        </w:rPr>
        <w:t xml:space="preserve"> PDV, quando ausente instrumento coletivo autorizando essa condição</w:t>
      </w:r>
      <w:r w:rsidR="00605E84">
        <w:rPr>
          <w:rFonts w:cs="Arial"/>
          <w:spacing w:val="20"/>
          <w:position w:val="6"/>
          <w:szCs w:val="22"/>
        </w:rPr>
        <w:t xml:space="preserve"> – elemento esse de distinção em relação ao precedente em repercussão geral do STF –</w:t>
      </w:r>
      <w:r>
        <w:rPr>
          <w:rFonts w:cs="Arial"/>
          <w:spacing w:val="20"/>
          <w:position w:val="6"/>
          <w:szCs w:val="22"/>
        </w:rPr>
        <w:t>.</w:t>
      </w:r>
      <w:r w:rsidR="00605E84">
        <w:rPr>
          <w:rFonts w:cs="Arial"/>
          <w:spacing w:val="20"/>
          <w:position w:val="6"/>
          <w:szCs w:val="22"/>
        </w:rPr>
        <w:t xml:space="preserve"> Segue ementa nesse sentido:</w:t>
      </w:r>
    </w:p>
    <w:p w:rsidR="005C7811" w:rsidRDefault="005C7811" w:rsidP="00D26AF7">
      <w:pPr>
        <w:spacing w:after="120" w:line="460" w:lineRule="exact"/>
        <w:ind w:firstLine="2835"/>
        <w:jc w:val="both"/>
        <w:rPr>
          <w:rFonts w:cs="Arial"/>
          <w:spacing w:val="20"/>
          <w:position w:val="6"/>
          <w:szCs w:val="22"/>
        </w:rPr>
      </w:pPr>
    </w:p>
    <w:p w:rsidR="00605E84" w:rsidRPr="004835D7" w:rsidRDefault="00605E84" w:rsidP="00605E84">
      <w:pPr>
        <w:spacing w:after="120" w:line="460" w:lineRule="exact"/>
        <w:ind w:left="567" w:right="567"/>
        <w:jc w:val="both"/>
        <w:rPr>
          <w:rFonts w:cs="Arial"/>
          <w:spacing w:val="20"/>
          <w:position w:val="6"/>
          <w:szCs w:val="22"/>
        </w:rPr>
      </w:pPr>
      <w:r w:rsidRPr="004835D7">
        <w:rPr>
          <w:rFonts w:cs="Arial"/>
          <w:i/>
          <w:spacing w:val="20"/>
          <w:position w:val="6"/>
          <w:szCs w:val="22"/>
        </w:rPr>
        <w:t xml:space="preserve">“AGRAVO DE INSTRUMENTO DA RECLAMADA VOLKSWAGEN DO BRASIL INDÚSTRIA DE VEÍCULOS AUTOMOTORES LTDA. RECURSO DE REVISTA. JULGAMENTO ANTERIOR POR ESTA 3ª TURMA. DEVOLUÇÃO DOS AUTOS PARA EVENTUAL EMISSÃO DE JUÍZO DE RETRATAÇÃO. ARTIGO 1.030, INCISO II, do NOVO CPC (ARTIGO 543-B, § 3º, DO CPC/1973). ADESÃO DO EMPREGADO AO PLANO DE DEMISSÃO VOLUNTÁRIA. EFEITOS. HIPÓTESE DOS AUTOS DIVERSA DA DECIDIDA PELO SUPREMO TRIBUNAL FEDERAL NO RE-590.415/SC. JUÍZO DE RETRATAÇÃO NÃO EXERCIDO. Esta Corte Superior sedimentou o entendimento de que a transação extrajudicial que importa em extinção do contrato de trabalho, ante a adesão do empregado ao plano de desligamento voluntário, não se traduz em quitação ampla nem tem efeito de coisa julgada, mas implica quitação exclusivamente das </w:t>
      </w:r>
      <w:r w:rsidRPr="004835D7">
        <w:rPr>
          <w:rFonts w:cs="Arial"/>
          <w:i/>
          <w:spacing w:val="20"/>
          <w:position w:val="6"/>
          <w:szCs w:val="22"/>
        </w:rPr>
        <w:lastRenderedPageBreak/>
        <w:t>parcelas e valores constantes do recibo (OJ 270/SBDI-1/TST e Súmula 330/TST). Entretanto, o Supremo Tribunal Federal, no julgamento do Recurso Extraordinário nº 590415, de repercussão geral, decidiu, em sessão plenária do dia 30.04.2014, que é válida a cláusula que dá quitação ampla e irrestrita de todas as parcelas decorrentes do contrato de emprego nos planos de dispensa incentivada (PDI) ou voluntária (PDV), desde que este item conste de acordo coletivo de trabalho e dos demais instrumentos assinados pelo empregado. A hipótese dos autos não se amolda àquela tratada pelo E. STF, nos autos do RE 590.415, uma vez que não consta no acórdão regional informação de que a instituição do PDV tenha se dado por acordo coletivo com previsão expressa da condição de quitação ampla e irrestrita de todas as parcelas objeto do contrato de trabalho. Dessa forma, mantém-se a decisão que negou provimento ao agravo de instrumento interposto pela Reclamada, sem proceder ao juízo de retratação, nos termos do art. 1.030, II, do CPC/15 (art. 543-B, § 3º, do CPC/73). Devolvam-se os autos à Vice-Presidência desta Corte Superior.”</w:t>
      </w:r>
      <w:r>
        <w:rPr>
          <w:rFonts w:cs="Arial"/>
          <w:spacing w:val="20"/>
          <w:position w:val="6"/>
          <w:szCs w:val="22"/>
        </w:rPr>
        <w:t xml:space="preserve"> (TST-AIIRR-113900-74.2002.5.02.0465</w:t>
      </w:r>
      <w:r w:rsidRPr="004835D7">
        <w:rPr>
          <w:rFonts w:cs="Arial"/>
          <w:spacing w:val="20"/>
          <w:position w:val="6"/>
          <w:szCs w:val="22"/>
        </w:rPr>
        <w:t>, Relator Ministro: Mauricio Godinho Delgado, Data de Julgamento: 14/12/2016, 3ª Turma, Data de Publicação: DEJT 19/12/2016)</w:t>
      </w:r>
    </w:p>
    <w:p w:rsidR="00605E84" w:rsidRDefault="00605E84" w:rsidP="00605E84">
      <w:pPr>
        <w:spacing w:after="120" w:line="460" w:lineRule="exact"/>
        <w:ind w:firstLine="2835"/>
        <w:jc w:val="both"/>
        <w:rPr>
          <w:rFonts w:cs="Arial"/>
          <w:spacing w:val="20"/>
          <w:position w:val="6"/>
          <w:szCs w:val="22"/>
        </w:rPr>
      </w:pPr>
    </w:p>
    <w:p w:rsidR="00605E84" w:rsidRDefault="00605E84" w:rsidP="00605E84">
      <w:pPr>
        <w:spacing w:after="120" w:line="460" w:lineRule="exact"/>
        <w:ind w:firstLine="2835"/>
        <w:jc w:val="both"/>
        <w:rPr>
          <w:rFonts w:cs="Arial"/>
          <w:spacing w:val="20"/>
          <w:position w:val="6"/>
          <w:szCs w:val="22"/>
        </w:rPr>
      </w:pPr>
      <w:r>
        <w:rPr>
          <w:rFonts w:cs="Arial"/>
          <w:spacing w:val="20"/>
          <w:position w:val="6"/>
          <w:szCs w:val="22"/>
        </w:rPr>
        <w:t xml:space="preserve">Demais precedentes da SBDI-1 e de outras Turmas do TST no mesmo sentido: </w:t>
      </w:r>
      <w:r w:rsidRPr="001B301C">
        <w:rPr>
          <w:rFonts w:cs="Arial"/>
          <w:spacing w:val="20"/>
          <w:position w:val="6"/>
          <w:szCs w:val="22"/>
        </w:rPr>
        <w:t xml:space="preserve">E-ED-RR - 148700-64.2007.5.02.0462 , Relator Ministro: Augusto César Leite de Carvalho, Data de Julgamento: 06/10/2016, </w:t>
      </w:r>
      <w:r w:rsidRPr="001B301C">
        <w:rPr>
          <w:rFonts w:cs="Arial"/>
          <w:b/>
          <w:spacing w:val="20"/>
          <w:position w:val="6"/>
          <w:szCs w:val="22"/>
        </w:rPr>
        <w:t>Subseção I Especializada em Dissídios Individuais</w:t>
      </w:r>
      <w:r w:rsidRPr="001B301C">
        <w:rPr>
          <w:rFonts w:cs="Arial"/>
          <w:spacing w:val="20"/>
          <w:position w:val="6"/>
          <w:szCs w:val="22"/>
        </w:rPr>
        <w:t>, Data de Publicação: DEJT 14/10/2016</w:t>
      </w:r>
      <w:r>
        <w:rPr>
          <w:rFonts w:cs="Arial"/>
          <w:spacing w:val="20"/>
          <w:position w:val="6"/>
          <w:szCs w:val="22"/>
        </w:rPr>
        <w:t xml:space="preserve">; </w:t>
      </w:r>
      <w:r w:rsidRPr="001B301C">
        <w:rPr>
          <w:rFonts w:cs="Arial"/>
          <w:spacing w:val="20"/>
          <w:position w:val="6"/>
          <w:szCs w:val="22"/>
        </w:rPr>
        <w:t xml:space="preserve">RR - 166400-04.1997.5.09.0658, Relator Desembargador Convocado: Marcelo Lamego Pertence, Data de Julgamento: 14/12/2016, </w:t>
      </w:r>
      <w:r w:rsidRPr="007C7609">
        <w:rPr>
          <w:rFonts w:cs="Arial"/>
          <w:b/>
          <w:spacing w:val="20"/>
          <w:position w:val="6"/>
          <w:szCs w:val="22"/>
        </w:rPr>
        <w:t>1ª Turma</w:t>
      </w:r>
      <w:r w:rsidRPr="001B301C">
        <w:rPr>
          <w:rFonts w:cs="Arial"/>
          <w:spacing w:val="20"/>
          <w:position w:val="6"/>
          <w:szCs w:val="22"/>
        </w:rPr>
        <w:t>, Data</w:t>
      </w:r>
      <w:r>
        <w:rPr>
          <w:rFonts w:cs="Arial"/>
          <w:spacing w:val="20"/>
          <w:position w:val="6"/>
          <w:szCs w:val="22"/>
        </w:rPr>
        <w:t xml:space="preserve"> de Publicação: DEJT 19/12/2016; </w:t>
      </w:r>
      <w:r w:rsidRPr="004835D7">
        <w:rPr>
          <w:rFonts w:cs="Arial"/>
          <w:spacing w:val="20"/>
          <w:position w:val="6"/>
          <w:szCs w:val="22"/>
        </w:rPr>
        <w:t xml:space="preserve">ARR - 317200-35.2003.5.02.0462 , Relator Ministro: Augusto César Leite de Carvalho, Data </w:t>
      </w:r>
      <w:r w:rsidRPr="004835D7">
        <w:rPr>
          <w:rFonts w:cs="Arial"/>
          <w:spacing w:val="20"/>
          <w:position w:val="6"/>
          <w:szCs w:val="22"/>
        </w:rPr>
        <w:lastRenderedPageBreak/>
        <w:t xml:space="preserve">de Julgamento: 07/12/2016, </w:t>
      </w:r>
      <w:r w:rsidRPr="00D26AF7">
        <w:rPr>
          <w:rFonts w:cs="Arial"/>
          <w:b/>
          <w:spacing w:val="20"/>
          <w:position w:val="6"/>
          <w:szCs w:val="22"/>
        </w:rPr>
        <w:t>6ª Turma</w:t>
      </w:r>
      <w:r w:rsidRPr="004835D7">
        <w:rPr>
          <w:rFonts w:cs="Arial"/>
          <w:spacing w:val="20"/>
          <w:position w:val="6"/>
          <w:szCs w:val="22"/>
        </w:rPr>
        <w:t>, Data de Publicação: DEJT 19/12/2016</w:t>
      </w:r>
      <w:r w:rsidRPr="00801680">
        <w:rPr>
          <w:rFonts w:cs="Arial"/>
          <w:spacing w:val="20"/>
          <w:position w:val="6"/>
          <w:szCs w:val="22"/>
        </w:rPr>
        <w:t xml:space="preserve">AIRR-159700-72.2008.5.02.0059, Relatora Ministra: Dora Maria da Costa, Data de Julgamento: 14/12/2016, </w:t>
      </w:r>
      <w:r w:rsidRPr="00801680">
        <w:rPr>
          <w:rFonts w:cs="Arial"/>
          <w:b/>
          <w:spacing w:val="20"/>
          <w:position w:val="6"/>
          <w:szCs w:val="22"/>
        </w:rPr>
        <w:t>8ª Turma</w:t>
      </w:r>
      <w:r w:rsidRPr="00801680">
        <w:rPr>
          <w:rFonts w:cs="Arial"/>
          <w:spacing w:val="20"/>
          <w:position w:val="6"/>
          <w:szCs w:val="22"/>
        </w:rPr>
        <w:t>, Data</w:t>
      </w:r>
      <w:r>
        <w:rPr>
          <w:rFonts w:cs="Arial"/>
          <w:spacing w:val="20"/>
          <w:position w:val="6"/>
          <w:szCs w:val="22"/>
        </w:rPr>
        <w:t xml:space="preserve"> de Publicação: DEJT 19/12/2016; </w:t>
      </w:r>
    </w:p>
    <w:p w:rsidR="00605E84" w:rsidRDefault="00605E84" w:rsidP="00D26AF7">
      <w:pPr>
        <w:spacing w:after="120" w:line="460" w:lineRule="exact"/>
        <w:ind w:firstLine="2835"/>
        <w:jc w:val="both"/>
        <w:rPr>
          <w:rFonts w:cs="Arial"/>
          <w:spacing w:val="20"/>
          <w:position w:val="6"/>
          <w:szCs w:val="22"/>
        </w:rPr>
      </w:pPr>
    </w:p>
    <w:p w:rsidR="00605E84" w:rsidRDefault="00605E84" w:rsidP="00D26AF7">
      <w:pPr>
        <w:spacing w:after="120" w:line="460" w:lineRule="exact"/>
        <w:ind w:firstLine="2835"/>
        <w:jc w:val="both"/>
        <w:rPr>
          <w:rFonts w:cs="Arial"/>
          <w:spacing w:val="20"/>
          <w:position w:val="6"/>
          <w:szCs w:val="22"/>
        </w:rPr>
      </w:pPr>
      <w:r>
        <w:rPr>
          <w:rFonts w:cs="Arial"/>
          <w:spacing w:val="20"/>
          <w:position w:val="6"/>
          <w:szCs w:val="22"/>
        </w:rPr>
        <w:t xml:space="preserve">No entanto, há jurisprudência </w:t>
      </w:r>
      <w:r w:rsidRPr="00605E84">
        <w:rPr>
          <w:rFonts w:cs="Arial"/>
          <w:b/>
          <w:spacing w:val="20"/>
          <w:position w:val="6"/>
          <w:szCs w:val="22"/>
        </w:rPr>
        <w:t>minoritári</w:t>
      </w:r>
      <w:r>
        <w:rPr>
          <w:rFonts w:cs="Arial"/>
          <w:b/>
          <w:spacing w:val="20"/>
          <w:position w:val="6"/>
          <w:szCs w:val="22"/>
        </w:rPr>
        <w:t>a</w:t>
      </w:r>
      <w:r>
        <w:rPr>
          <w:rFonts w:cs="Arial"/>
          <w:spacing w:val="20"/>
          <w:position w:val="6"/>
          <w:szCs w:val="22"/>
        </w:rPr>
        <w:t xml:space="preserve"> no TST que aplica o precedente de repercussão geral do STF</w:t>
      </w:r>
      <w:r w:rsidR="005C7811">
        <w:rPr>
          <w:rFonts w:cs="Arial"/>
          <w:spacing w:val="20"/>
          <w:position w:val="6"/>
          <w:szCs w:val="22"/>
        </w:rPr>
        <w:t>, mesmo</w:t>
      </w:r>
      <w:r>
        <w:rPr>
          <w:rFonts w:cs="Arial"/>
          <w:spacing w:val="20"/>
          <w:position w:val="6"/>
          <w:szCs w:val="22"/>
        </w:rPr>
        <w:t xml:space="preserve"> que a </w:t>
      </w:r>
      <w:r w:rsidR="005C7811">
        <w:rPr>
          <w:rFonts w:cs="Arial"/>
          <w:spacing w:val="20"/>
          <w:position w:val="6"/>
          <w:szCs w:val="22"/>
        </w:rPr>
        <w:t>condição</w:t>
      </w:r>
      <w:r>
        <w:rPr>
          <w:rFonts w:cs="Arial"/>
          <w:spacing w:val="20"/>
          <w:position w:val="6"/>
          <w:szCs w:val="22"/>
        </w:rPr>
        <w:t xml:space="preserve"> de quitação ampla e irrestrita do contrato de trabalho, decorrente de adesão a</w:t>
      </w:r>
      <w:r w:rsidR="005C7811">
        <w:rPr>
          <w:rFonts w:cs="Arial"/>
          <w:spacing w:val="20"/>
          <w:position w:val="6"/>
          <w:szCs w:val="22"/>
        </w:rPr>
        <w:t>o</w:t>
      </w:r>
      <w:r>
        <w:rPr>
          <w:rFonts w:cs="Arial"/>
          <w:spacing w:val="20"/>
          <w:position w:val="6"/>
          <w:szCs w:val="22"/>
        </w:rPr>
        <w:t xml:space="preserve"> PDV</w:t>
      </w:r>
      <w:r w:rsidR="006920DA">
        <w:rPr>
          <w:rFonts w:cs="Arial"/>
          <w:spacing w:val="20"/>
          <w:position w:val="6"/>
          <w:szCs w:val="22"/>
        </w:rPr>
        <w:t>, não esteja prevista em instrumento coletivo, bastando tal condição estar prevista em documento firmado com o trabalhador, restando superada a OJ n.° 270, da SDBI. Vide abaixo a ementa que exemplifica esse entendimento:</w:t>
      </w:r>
    </w:p>
    <w:p w:rsidR="006920DA" w:rsidRDefault="006920DA" w:rsidP="00D26AF7">
      <w:pPr>
        <w:spacing w:after="120" w:line="460" w:lineRule="exact"/>
        <w:ind w:firstLine="2835"/>
        <w:jc w:val="both"/>
        <w:rPr>
          <w:rFonts w:cs="Arial"/>
          <w:spacing w:val="20"/>
          <w:position w:val="6"/>
          <w:szCs w:val="22"/>
        </w:rPr>
      </w:pPr>
    </w:p>
    <w:p w:rsidR="006920DA" w:rsidRDefault="006920DA" w:rsidP="006920DA">
      <w:pPr>
        <w:spacing w:after="120" w:line="460" w:lineRule="exact"/>
        <w:ind w:left="567" w:right="567"/>
        <w:jc w:val="both"/>
        <w:rPr>
          <w:rFonts w:cs="Arial"/>
          <w:spacing w:val="20"/>
          <w:position w:val="6"/>
          <w:szCs w:val="22"/>
        </w:rPr>
      </w:pPr>
      <w:r w:rsidRPr="006920DA">
        <w:rPr>
          <w:rFonts w:cs="Arial"/>
          <w:i/>
          <w:spacing w:val="20"/>
          <w:position w:val="6"/>
          <w:szCs w:val="22"/>
        </w:rPr>
        <w:t xml:space="preserve">"RECURSO DE REVISTA. JUÍZO DE RETRATAÇÃO DO ARTIGO 543, § 3º, DO CPC/73. ADESÃO A PLANO DE DEMISSÃO IMOTIVADA. QUITAÇÃO AMPLA. DECISÃO DO STF ERIGIDA À CONDIÇÃO DE LEADING CASE. I - A SBDI-1 do TST, mediante a edição da Orientação Jurisprudencial nº 270, consolidou o entendimento de que "a transação extrajudicial que importa rescisão do contrato de trabalho ante a adesão do empregado ao plano de demissão voluntária implica quitação exclusivamente das parcelas e valores constantes do recibo". II - O Supremo Tribunal Federal, recentemente no julgamento do RE 590.415/SC, erigido à condição de leading case, acabou por consagrar a tese diametralmente oposta a que o fora no âmbito desta Corte, tese então compartilhada por este magistrado. III - A tese vitoriosa no âmbito do STF acha-se corporificada no respectivo acórdão de que "a transação extrajudicial que importa rescisão do contrato de emprego, em razão de adesão voluntária do empregado a plano de dispensa incentivada, enseja quitação ampla e irrestrita de todas </w:t>
      </w:r>
      <w:r w:rsidRPr="006920DA">
        <w:rPr>
          <w:rFonts w:cs="Arial"/>
          <w:i/>
          <w:spacing w:val="20"/>
          <w:position w:val="6"/>
          <w:szCs w:val="22"/>
        </w:rPr>
        <w:lastRenderedPageBreak/>
        <w:t xml:space="preserve">as parcelas objeto do contrato de emprego, caso esta condição tenha constado expressamente do acordo coletivo que aprovou plano, bem como dos demais instrumentos celebrados com o empregado". IV - Diante do novo tratamento dado à questão pela Suprema Corte, em contexto idêntico ao dos presentes autos, sobressai a conclusão de que a livre opção do trabalhador pelo Plano de Demissão Incentivada, introduzido mediante instrumentos coletivos, ou por meio de outros instrumentos celebrados com o empregado, induz a quitação ampla, geral e irrestrita de todas as parcelas oriundas do contrato de trabalho extinto. V - Resta, assim, superado o entendimento da OJ 270 da SBDI-1 do TST ante a superveniência de decisão da Suprema Corte proferida com remissão ao instituto da Repercussão Geral, com efeito vinculante e erga omnes, repercussão geral que se irradia para todos os casos idênticos ao do BESC, em virtude de ela achar-se consubstanciada no tópico da ementa do acórdão do Ministro Barroso. VI - "Afirmação, em repercussão geral, da seguinte tese: ' A transação extrajudicial que importa rescisão do contrato de trabalho, em razão de adesão voluntária do empregado a plano de dispensa incentivada, enseja quitação ampla e irrestrita de todas as parcelas objeto do contrato de emprego, caso essa condição tenha constado expressamente do acordo coletivo que aprovou o plano, bem como dos demais instrumentos celebrados com o empregado' " (STF, RE-590415, Rel. Min. ROBERTO BARROSO, Tribunal Pleno, julgado em 30.4.2015, DJe 9.5.2015). VII - O Colegiado de origem deixou assinalado que o recorrente aderira ao programa de dispensa incentivada instituído pelo banco, adesão que considerara ato jurídico perfeito e acabado, sem nenhum registro de vício insanável relativamente à sua capacidade, à licitude do objeto e a obediência à forma legal estabelecida para a realização do ato. VIII - Acrescentou, ainda, que o ato fora </w:t>
      </w:r>
      <w:r w:rsidRPr="006920DA">
        <w:rPr>
          <w:rFonts w:cs="Arial"/>
          <w:i/>
          <w:spacing w:val="20"/>
          <w:position w:val="6"/>
          <w:szCs w:val="22"/>
        </w:rPr>
        <w:lastRenderedPageBreak/>
        <w:t>praticado à margem de prova de qualquer vício de consentimento que o comprometesse, pelo que se impõe a conclusão de a decisão de origem achar-se em consonância com a tese adotada na repercussão geral, delineada no RE 590.415/SC, erigido à condição de leading case, valendo relembrar que o PDI ali noticiado não decorre unicamente de instrumento normativo, mas também de outros instrumentos celebrados com o empregado. IX - Recurso conhecido e provido"</w:t>
      </w:r>
      <w:r w:rsidRPr="006920DA">
        <w:rPr>
          <w:rFonts w:cs="Arial"/>
          <w:spacing w:val="20"/>
          <w:position w:val="6"/>
          <w:szCs w:val="22"/>
        </w:rPr>
        <w:t>. (RR- 44285-69.2005.5.12.0026, Relator Ministro: Antonio José de Barros Levenhagen, Data de Julgamento: 05/10/2016, 5ª Turma, Data de Publicação: DEJT 07/10/2016)</w:t>
      </w:r>
    </w:p>
    <w:p w:rsidR="00D26AF7" w:rsidRDefault="00D26AF7" w:rsidP="006537D4">
      <w:pPr>
        <w:spacing w:after="120" w:line="480" w:lineRule="exact"/>
        <w:ind w:firstLine="2835"/>
        <w:jc w:val="both"/>
        <w:rPr>
          <w:rFonts w:cs="Arial"/>
          <w:spacing w:val="20"/>
          <w:position w:val="6"/>
          <w:szCs w:val="22"/>
        </w:rPr>
      </w:pPr>
    </w:p>
    <w:p w:rsidR="006920DA" w:rsidRPr="006920DA" w:rsidRDefault="006920DA" w:rsidP="006537D4">
      <w:pPr>
        <w:spacing w:after="120" w:line="480" w:lineRule="exact"/>
        <w:ind w:firstLine="2835"/>
        <w:jc w:val="both"/>
        <w:rPr>
          <w:rFonts w:cs="Arial"/>
          <w:spacing w:val="20"/>
          <w:position w:val="6"/>
          <w:szCs w:val="22"/>
        </w:rPr>
      </w:pPr>
      <w:r>
        <w:rPr>
          <w:rFonts w:cs="Arial"/>
          <w:spacing w:val="20"/>
          <w:position w:val="6"/>
          <w:szCs w:val="22"/>
        </w:rPr>
        <w:t xml:space="preserve">Outro precedente nesse sentido: </w:t>
      </w:r>
      <w:r w:rsidRPr="006920DA">
        <w:rPr>
          <w:rFonts w:cs="Arial"/>
          <w:spacing w:val="20"/>
          <w:position w:val="6"/>
          <w:szCs w:val="22"/>
        </w:rPr>
        <w:t xml:space="preserve">RR-110400-87.2003.5.15.0049, Relator Ministro: Guilherme Augusto Caputo Bastos, Data de Julgamento: 14/12/2016, </w:t>
      </w:r>
      <w:r w:rsidRPr="006920DA">
        <w:rPr>
          <w:rFonts w:cs="Arial"/>
          <w:b/>
          <w:spacing w:val="20"/>
          <w:position w:val="6"/>
          <w:szCs w:val="22"/>
        </w:rPr>
        <w:t>5ª Turma</w:t>
      </w:r>
      <w:r w:rsidRPr="006920DA">
        <w:rPr>
          <w:rFonts w:cs="Arial"/>
          <w:spacing w:val="20"/>
          <w:position w:val="6"/>
          <w:szCs w:val="22"/>
        </w:rPr>
        <w:t>, Data de Publicação: DEJT 19/12/</w:t>
      </w:r>
      <w:r>
        <w:rPr>
          <w:rFonts w:cs="Arial"/>
          <w:spacing w:val="20"/>
          <w:position w:val="6"/>
          <w:szCs w:val="22"/>
        </w:rPr>
        <w:t>2016.</w:t>
      </w:r>
    </w:p>
    <w:p w:rsidR="006920DA" w:rsidRDefault="006920DA" w:rsidP="006537D4">
      <w:pPr>
        <w:spacing w:after="120" w:line="480" w:lineRule="exact"/>
        <w:ind w:firstLine="2835"/>
        <w:jc w:val="both"/>
        <w:rPr>
          <w:rFonts w:cs="Arial"/>
          <w:spacing w:val="20"/>
          <w:position w:val="6"/>
          <w:szCs w:val="22"/>
        </w:rPr>
      </w:pPr>
    </w:p>
    <w:p w:rsidR="006920DA" w:rsidRDefault="006920DA" w:rsidP="006537D4">
      <w:pPr>
        <w:spacing w:after="120" w:line="480" w:lineRule="exact"/>
        <w:ind w:firstLine="2835"/>
        <w:jc w:val="both"/>
        <w:rPr>
          <w:rFonts w:cs="Arial"/>
          <w:spacing w:val="20"/>
          <w:position w:val="6"/>
          <w:szCs w:val="22"/>
        </w:rPr>
      </w:pPr>
      <w:r>
        <w:rPr>
          <w:rFonts w:cs="Arial"/>
          <w:spacing w:val="20"/>
          <w:position w:val="6"/>
          <w:szCs w:val="22"/>
        </w:rPr>
        <w:t>Diante dess</w:t>
      </w:r>
      <w:r w:rsidR="000314A4">
        <w:rPr>
          <w:rFonts w:cs="Arial"/>
          <w:spacing w:val="20"/>
          <w:position w:val="6"/>
          <w:szCs w:val="22"/>
        </w:rPr>
        <w:t xml:space="preserve">e quadro, frente à </w:t>
      </w:r>
      <w:r w:rsidR="000314A4" w:rsidRPr="00085332">
        <w:rPr>
          <w:rFonts w:cs="Arial"/>
          <w:b/>
          <w:spacing w:val="20"/>
          <w:position w:val="6"/>
          <w:szCs w:val="22"/>
        </w:rPr>
        <w:t>corrente majoritária da jurisprudência do TST</w:t>
      </w:r>
      <w:r w:rsidR="000314A4">
        <w:rPr>
          <w:rFonts w:cs="Arial"/>
          <w:spacing w:val="20"/>
          <w:position w:val="6"/>
          <w:szCs w:val="22"/>
        </w:rPr>
        <w:t xml:space="preserve">, entendo </w:t>
      </w:r>
      <w:r w:rsidR="000314A4" w:rsidRPr="00085332">
        <w:rPr>
          <w:rFonts w:cs="Arial"/>
          <w:b/>
          <w:spacing w:val="20"/>
          <w:position w:val="6"/>
          <w:szCs w:val="22"/>
        </w:rPr>
        <w:t>necessário que os sindicatos registrem ressalva expressa específica nos termos de rescisão do contrato de trabalho de trabalhador que aderiu ao PDVE, demonstrando insurgência contra a quitação ampla e irrestrita do pacto laboral por não ter sido essa condição firmada em instrumento coletivo</w:t>
      </w:r>
      <w:r w:rsidR="000314A4">
        <w:rPr>
          <w:rFonts w:cs="Arial"/>
          <w:spacing w:val="20"/>
          <w:position w:val="6"/>
          <w:szCs w:val="22"/>
        </w:rPr>
        <w:t>.</w:t>
      </w:r>
    </w:p>
    <w:p w:rsidR="006920DA" w:rsidRDefault="006920DA" w:rsidP="006537D4">
      <w:pPr>
        <w:spacing w:after="120" w:line="480" w:lineRule="exact"/>
        <w:ind w:firstLine="2835"/>
        <w:jc w:val="both"/>
        <w:rPr>
          <w:rFonts w:cs="Arial"/>
          <w:spacing w:val="20"/>
          <w:position w:val="6"/>
          <w:szCs w:val="22"/>
        </w:rPr>
      </w:pPr>
    </w:p>
    <w:p w:rsidR="000314A4" w:rsidRDefault="000314A4" w:rsidP="006537D4">
      <w:pPr>
        <w:spacing w:after="120" w:line="480" w:lineRule="exact"/>
        <w:ind w:firstLine="2835"/>
        <w:jc w:val="both"/>
        <w:rPr>
          <w:rFonts w:cs="Arial"/>
          <w:spacing w:val="20"/>
          <w:position w:val="6"/>
          <w:szCs w:val="22"/>
        </w:rPr>
      </w:pPr>
      <w:r>
        <w:rPr>
          <w:rFonts w:cs="Arial"/>
          <w:spacing w:val="20"/>
          <w:position w:val="6"/>
          <w:szCs w:val="22"/>
        </w:rPr>
        <w:t xml:space="preserve">Oportuno </w:t>
      </w:r>
      <w:r w:rsidR="005C7811">
        <w:rPr>
          <w:rFonts w:cs="Arial"/>
          <w:spacing w:val="20"/>
          <w:position w:val="6"/>
          <w:szCs w:val="22"/>
        </w:rPr>
        <w:t xml:space="preserve">e </w:t>
      </w:r>
      <w:r w:rsidR="005C7811" w:rsidRPr="00085332">
        <w:rPr>
          <w:rFonts w:cs="Arial"/>
          <w:b/>
          <w:spacing w:val="20"/>
          <w:position w:val="6"/>
          <w:szCs w:val="22"/>
        </w:rPr>
        <w:t xml:space="preserve">relevante </w:t>
      </w:r>
      <w:r w:rsidRPr="00085332">
        <w:rPr>
          <w:rFonts w:cs="Arial"/>
          <w:b/>
          <w:spacing w:val="20"/>
          <w:position w:val="6"/>
          <w:szCs w:val="22"/>
        </w:rPr>
        <w:t>informar aos trabalhadores de que há o risco advindo da corrente minoritária da jurisprudência do TST</w:t>
      </w:r>
      <w:r>
        <w:rPr>
          <w:rFonts w:cs="Arial"/>
          <w:spacing w:val="20"/>
          <w:position w:val="6"/>
          <w:szCs w:val="22"/>
        </w:rPr>
        <w:t xml:space="preserve">, isto é, </w:t>
      </w:r>
      <w:r w:rsidRPr="00085332">
        <w:rPr>
          <w:rFonts w:cs="Arial"/>
          <w:b/>
          <w:spacing w:val="20"/>
          <w:position w:val="6"/>
          <w:szCs w:val="22"/>
        </w:rPr>
        <w:t>mesmo com a ressalva acima, suficiente a adesão ao PDVE para ser reconhecida a quitação ampla e irrestrita do contrato de trabalho, vez que essa condição consta do termo de adesão</w:t>
      </w:r>
      <w:r>
        <w:rPr>
          <w:rFonts w:cs="Arial"/>
          <w:spacing w:val="20"/>
          <w:position w:val="6"/>
          <w:szCs w:val="22"/>
        </w:rPr>
        <w:t>.</w:t>
      </w:r>
    </w:p>
    <w:p w:rsidR="007122C4" w:rsidRPr="007122C4" w:rsidRDefault="007122C4" w:rsidP="007122C4">
      <w:pPr>
        <w:spacing w:after="120" w:line="460" w:lineRule="exact"/>
        <w:ind w:firstLine="2835"/>
        <w:jc w:val="both"/>
        <w:rPr>
          <w:rFonts w:cs="Arial"/>
          <w:spacing w:val="20"/>
          <w:position w:val="6"/>
          <w:szCs w:val="22"/>
        </w:rPr>
      </w:pPr>
      <w:r w:rsidRPr="007122C4">
        <w:rPr>
          <w:rFonts w:cs="Arial"/>
          <w:spacing w:val="20"/>
          <w:position w:val="6"/>
          <w:szCs w:val="22"/>
        </w:rPr>
        <w:lastRenderedPageBreak/>
        <w:t>Esse é o parecer.</w:t>
      </w:r>
    </w:p>
    <w:p w:rsidR="007122C4" w:rsidRPr="007122C4" w:rsidRDefault="007122C4" w:rsidP="007122C4">
      <w:pPr>
        <w:spacing w:after="120" w:line="460" w:lineRule="exact"/>
        <w:ind w:firstLine="2835"/>
        <w:jc w:val="both"/>
        <w:rPr>
          <w:rFonts w:cs="Arial"/>
          <w:spacing w:val="20"/>
          <w:position w:val="6"/>
          <w:szCs w:val="22"/>
        </w:rPr>
      </w:pPr>
    </w:p>
    <w:p w:rsidR="007122C4" w:rsidRPr="007122C4" w:rsidRDefault="007122C4" w:rsidP="007122C4">
      <w:pPr>
        <w:spacing w:after="120" w:line="460" w:lineRule="exact"/>
        <w:ind w:firstLine="2835"/>
        <w:jc w:val="both"/>
        <w:rPr>
          <w:rFonts w:cs="Arial"/>
          <w:spacing w:val="20"/>
          <w:position w:val="6"/>
          <w:szCs w:val="22"/>
        </w:rPr>
      </w:pPr>
      <w:r w:rsidRPr="007122C4">
        <w:rPr>
          <w:rFonts w:cs="Arial"/>
          <w:spacing w:val="20"/>
          <w:position w:val="6"/>
          <w:szCs w:val="22"/>
        </w:rPr>
        <w:t>Atenciosamente.</w:t>
      </w:r>
    </w:p>
    <w:p w:rsidR="007122C4" w:rsidRPr="007122C4" w:rsidRDefault="007122C4" w:rsidP="007122C4">
      <w:pPr>
        <w:tabs>
          <w:tab w:val="left" w:pos="2835"/>
        </w:tabs>
        <w:spacing w:after="120" w:line="460" w:lineRule="exact"/>
        <w:jc w:val="both"/>
        <w:rPr>
          <w:rFonts w:cs="Arial"/>
          <w:spacing w:val="20"/>
          <w:position w:val="6"/>
          <w:szCs w:val="22"/>
        </w:rPr>
      </w:pPr>
    </w:p>
    <w:p w:rsidR="007122C4" w:rsidRPr="007122C4" w:rsidRDefault="007122C4" w:rsidP="007122C4">
      <w:pPr>
        <w:tabs>
          <w:tab w:val="left" w:pos="851"/>
        </w:tabs>
        <w:spacing w:after="120" w:line="460" w:lineRule="exact"/>
        <w:jc w:val="center"/>
        <w:rPr>
          <w:rFonts w:cs="Arial"/>
          <w:b/>
          <w:spacing w:val="20"/>
          <w:position w:val="6"/>
          <w:szCs w:val="22"/>
        </w:rPr>
      </w:pPr>
      <w:r w:rsidRPr="007122C4">
        <w:rPr>
          <w:rFonts w:cs="Arial"/>
          <w:b/>
          <w:spacing w:val="20"/>
          <w:position w:val="6"/>
          <w:szCs w:val="22"/>
        </w:rPr>
        <w:t>Caio A. R. da Silva Prado</w:t>
      </w:r>
    </w:p>
    <w:p w:rsidR="007122C4" w:rsidRPr="007122C4" w:rsidRDefault="007122C4" w:rsidP="007122C4">
      <w:pPr>
        <w:tabs>
          <w:tab w:val="left" w:pos="851"/>
        </w:tabs>
        <w:spacing w:after="120" w:line="460" w:lineRule="exact"/>
        <w:jc w:val="center"/>
        <w:rPr>
          <w:rFonts w:cs="Arial"/>
          <w:b/>
          <w:spacing w:val="20"/>
          <w:position w:val="6"/>
          <w:szCs w:val="22"/>
        </w:rPr>
      </w:pPr>
      <w:r w:rsidRPr="007122C4">
        <w:rPr>
          <w:rFonts w:cs="Arial"/>
          <w:b/>
          <w:spacing w:val="20"/>
          <w:position w:val="6"/>
          <w:szCs w:val="22"/>
        </w:rPr>
        <w:t>OAB/DF n.° 14.962</w:t>
      </w:r>
    </w:p>
    <w:sectPr w:rsidR="007122C4" w:rsidRPr="007122C4" w:rsidSect="00243F1A">
      <w:headerReference w:type="default" r:id="rId7"/>
      <w:footerReference w:type="default" r:id="rId8"/>
      <w:pgSz w:w="11907" w:h="16840" w:code="9"/>
      <w:pgMar w:top="851" w:right="1134" w:bottom="851" w:left="1701" w:header="45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709" w:rsidRDefault="00105709">
      <w:r>
        <w:separator/>
      </w:r>
    </w:p>
  </w:endnote>
  <w:endnote w:type="continuationSeparator" w:id="1">
    <w:p w:rsidR="00105709" w:rsidRDefault="00105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wis721 Lt BT">
    <w:altName w:val="Microsoft YaHei"/>
    <w:charset w:val="00"/>
    <w:family w:val="swiss"/>
    <w:pitch w:val="variable"/>
    <w:sig w:usb0="00000001" w:usb1="1000204A" w:usb2="00000000" w:usb3="00000000" w:csb0="00000011" w:csb1="00000000"/>
  </w:font>
  <w:font w:name="Sitka Banner">
    <w:altName w:val="Arial"/>
    <w:charset w:val="00"/>
    <w:family w:val="auto"/>
    <w:pitch w:val="variable"/>
    <w:sig w:usb0="00000001"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A" w:rsidRPr="00443DB5" w:rsidRDefault="00243F1A" w:rsidP="00243F1A">
    <w:pPr>
      <w:tabs>
        <w:tab w:val="center" w:pos="4419"/>
      </w:tabs>
      <w:spacing w:line="280" w:lineRule="exact"/>
      <w:jc w:val="center"/>
    </w:pPr>
    <w:r w:rsidRPr="00443DB5">
      <w:rPr>
        <w:rFonts w:ascii="Swis721 Lt BT" w:hAnsi="Swis721 Lt BT"/>
        <w:color w:val="333333"/>
        <w:spacing w:val="0"/>
        <w:sz w:val="16"/>
        <w:szCs w:val="16"/>
        <w:lang/>
      </w:rPr>
      <w:t>SIG, Qd. 01, Lts. 985/1055, Ed. Centro Empresarial Parque Brasília, Torre Sul, Sala 222, Brasília–DF, CEP: 70.610-410</w:t>
    </w:r>
  </w:p>
  <w:p w:rsidR="00243F1A" w:rsidRPr="00443DB5" w:rsidRDefault="00243F1A" w:rsidP="00243F1A">
    <w:pPr>
      <w:tabs>
        <w:tab w:val="center" w:pos="4419"/>
      </w:tabs>
      <w:spacing w:line="280" w:lineRule="exact"/>
      <w:jc w:val="center"/>
      <w:rPr>
        <w:rFonts w:ascii="Swis721 Lt BT" w:hAnsi="Swis721 Lt BT"/>
        <w:spacing w:val="0"/>
        <w:sz w:val="16"/>
        <w:szCs w:val="16"/>
        <w:lang/>
      </w:rPr>
    </w:pPr>
    <w:r w:rsidRPr="00443DB5">
      <w:rPr>
        <w:rFonts w:ascii="Swis721 Lt BT" w:hAnsi="Swis721 Lt BT"/>
        <w:color w:val="333333"/>
        <w:spacing w:val="0"/>
        <w:sz w:val="16"/>
        <w:szCs w:val="16"/>
        <w:lang/>
      </w:rPr>
      <w:t xml:space="preserve">Telefone: (61) 3202-6689, e-mail: </w:t>
    </w:r>
    <w:hyperlink r:id="rId1" w:history="1">
      <w:r w:rsidRPr="00443DB5">
        <w:rPr>
          <w:rFonts w:ascii="Swis721 Lt BT" w:hAnsi="Swis721 Lt BT"/>
          <w:color w:val="0000FF"/>
          <w:spacing w:val="0"/>
          <w:sz w:val="16"/>
          <w:szCs w:val="16"/>
          <w:u w:val="single"/>
          <w:lang/>
        </w:rPr>
        <w:t>caio@bpcadvogados.adv.br</w:t>
      </w:r>
    </w:hyperlink>
    <w:r w:rsidRPr="00443DB5">
      <w:rPr>
        <w:rFonts w:ascii="Swis721 Lt BT" w:hAnsi="Swis721 Lt BT"/>
        <w:spacing w:val="0"/>
        <w:sz w:val="16"/>
        <w:szCs w:val="16"/>
        <w:lang/>
      </w:rPr>
      <w:t>, bpcadvogados.adv.br</w:t>
    </w:r>
  </w:p>
  <w:p w:rsidR="00243F1A" w:rsidRPr="00443DB5" w:rsidRDefault="00243F1A" w:rsidP="00243F1A">
    <w:pPr>
      <w:tabs>
        <w:tab w:val="center" w:pos="4419"/>
      </w:tabs>
      <w:spacing w:line="280" w:lineRule="exact"/>
      <w:jc w:val="center"/>
      <w:rPr>
        <w:rStyle w:val="Nmerodepgina"/>
      </w:rPr>
    </w:pPr>
    <w:r w:rsidRPr="00443DB5">
      <w:rPr>
        <w:rFonts w:ascii="Sitka Banner" w:hAnsi="Sitka Banner"/>
        <w:sz w:val="18"/>
        <w:szCs w:val="18"/>
      </w:rPr>
      <w:fldChar w:fldCharType="begin"/>
    </w:r>
    <w:r w:rsidRPr="00443DB5">
      <w:rPr>
        <w:rFonts w:ascii="Sitka Banner" w:hAnsi="Sitka Banner"/>
        <w:sz w:val="18"/>
        <w:szCs w:val="18"/>
      </w:rPr>
      <w:instrText>PAGE   \* MERGEFORMAT</w:instrText>
    </w:r>
    <w:r w:rsidRPr="00443DB5">
      <w:rPr>
        <w:rFonts w:ascii="Sitka Banner" w:hAnsi="Sitka Banner"/>
        <w:sz w:val="18"/>
        <w:szCs w:val="18"/>
      </w:rPr>
      <w:fldChar w:fldCharType="separate"/>
    </w:r>
    <w:r w:rsidR="00C10AB6">
      <w:rPr>
        <w:rFonts w:ascii="Sitka Banner" w:hAnsi="Sitka Banner"/>
        <w:noProof/>
        <w:sz w:val="18"/>
        <w:szCs w:val="18"/>
      </w:rPr>
      <w:t>1</w:t>
    </w:r>
    <w:r w:rsidRPr="00443DB5">
      <w:rPr>
        <w:rFonts w:ascii="Sitka Banner" w:hAnsi="Sitka Bann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709" w:rsidRDefault="00105709">
      <w:r>
        <w:separator/>
      </w:r>
    </w:p>
  </w:footnote>
  <w:footnote w:type="continuationSeparator" w:id="1">
    <w:p w:rsidR="00105709" w:rsidRDefault="00105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A" w:rsidRDefault="00C10AB6" w:rsidP="00243F1A">
    <w:pPr>
      <w:pStyle w:val="Cabealho"/>
      <w:spacing w:line="360" w:lineRule="auto"/>
      <w:jc w:val="center"/>
      <w:rPr>
        <w:rFonts w:ascii="Times New Roman" w:hAnsi="Times New Roman"/>
        <w:sz w:val="18"/>
      </w:rPr>
    </w:pPr>
    <w:r>
      <w:rPr>
        <w:noProof/>
      </w:rPr>
      <w:drawing>
        <wp:inline distT="0" distB="0" distL="0" distR="0">
          <wp:extent cx="3076575" cy="542925"/>
          <wp:effectExtent l="19050" t="0" r="9525" b="0"/>
          <wp:docPr id="1" name="Imagem 1" descr="logo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a word"/>
                  <pic:cNvPicPr>
                    <a:picLocks noChangeAspect="1" noChangeArrowheads="1"/>
                  </pic:cNvPicPr>
                </pic:nvPicPr>
                <pic:blipFill>
                  <a:blip r:embed="rId1"/>
                  <a:srcRect/>
                  <a:stretch>
                    <a:fillRect/>
                  </a:stretch>
                </pic:blipFill>
                <pic:spPr bwMode="auto">
                  <a:xfrm>
                    <a:off x="0" y="0"/>
                    <a:ext cx="3076575"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771"/>
    <w:multiLevelType w:val="singleLevel"/>
    <w:tmpl w:val="0416000F"/>
    <w:lvl w:ilvl="0">
      <w:start w:val="12"/>
      <w:numFmt w:val="decimal"/>
      <w:lvlText w:val="%1."/>
      <w:lvlJc w:val="left"/>
      <w:pPr>
        <w:tabs>
          <w:tab w:val="num" w:pos="360"/>
        </w:tabs>
        <w:ind w:left="360" w:hanging="360"/>
      </w:pPr>
      <w:rPr>
        <w:rFonts w:hint="default"/>
      </w:rPr>
    </w:lvl>
  </w:abstractNum>
  <w:abstractNum w:abstractNumId="1">
    <w:nsid w:val="079D52DC"/>
    <w:multiLevelType w:val="multilevel"/>
    <w:tmpl w:val="2FA43056"/>
    <w:lvl w:ilvl="0">
      <w:start w:val="4"/>
      <w:numFmt w:val="decimal"/>
      <w:lvlText w:val="%1."/>
      <w:lvlJc w:val="left"/>
      <w:pPr>
        <w:tabs>
          <w:tab w:val="num" w:pos="2130"/>
        </w:tabs>
        <w:ind w:left="2130" w:hanging="2130"/>
      </w:pPr>
      <w:rPr>
        <w:rFonts w:hint="default"/>
      </w:rPr>
    </w:lvl>
    <w:lvl w:ilvl="1">
      <w:start w:val="1"/>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9E3A3C"/>
    <w:multiLevelType w:val="multilevel"/>
    <w:tmpl w:val="AF48D434"/>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AC0A9F"/>
    <w:multiLevelType w:val="singleLevel"/>
    <w:tmpl w:val="A164FB14"/>
    <w:lvl w:ilvl="0">
      <w:start w:val="1"/>
      <w:numFmt w:val="decimal"/>
      <w:pStyle w:val="ItemSDI1"/>
      <w:lvlText w:val="Nº %1"/>
      <w:lvlJc w:val="left"/>
      <w:pPr>
        <w:tabs>
          <w:tab w:val="num" w:pos="851"/>
        </w:tabs>
        <w:ind w:left="851" w:hanging="851"/>
      </w:pPr>
      <w:rPr>
        <w:rFonts w:ascii="Times New Roman" w:hAnsi="Times New Roman" w:hint="default"/>
        <w:b/>
        <w:i w:val="0"/>
        <w:sz w:val="24"/>
      </w:rPr>
    </w:lvl>
  </w:abstractNum>
  <w:abstractNum w:abstractNumId="4">
    <w:nsid w:val="1224210D"/>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159D5C96"/>
    <w:multiLevelType w:val="multilevel"/>
    <w:tmpl w:val="77C2B892"/>
    <w:lvl w:ilvl="0">
      <w:start w:val="3"/>
      <w:numFmt w:val="decimal"/>
      <w:lvlText w:val="%1."/>
      <w:lvlJc w:val="left"/>
      <w:pPr>
        <w:tabs>
          <w:tab w:val="num" w:pos="2130"/>
        </w:tabs>
        <w:ind w:left="2130" w:hanging="2130"/>
      </w:pPr>
      <w:rPr>
        <w:rFonts w:hint="default"/>
      </w:rPr>
    </w:lvl>
    <w:lvl w:ilvl="1">
      <w:start w:val="2"/>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F3145A8"/>
    <w:multiLevelType w:val="singleLevel"/>
    <w:tmpl w:val="F1CA6C8E"/>
    <w:lvl w:ilvl="0">
      <w:start w:val="1"/>
      <w:numFmt w:val="decimal"/>
      <w:lvlText w:val="%1)"/>
      <w:lvlJc w:val="left"/>
      <w:pPr>
        <w:tabs>
          <w:tab w:val="num" w:pos="3032"/>
        </w:tabs>
        <w:ind w:left="3032" w:hanging="480"/>
      </w:pPr>
      <w:rPr>
        <w:rFonts w:hint="default"/>
      </w:rPr>
    </w:lvl>
  </w:abstractNum>
  <w:abstractNum w:abstractNumId="7">
    <w:nsid w:val="2AA838DD"/>
    <w:multiLevelType w:val="multilevel"/>
    <w:tmpl w:val="60484670"/>
    <w:lvl w:ilvl="0">
      <w:start w:val="2"/>
      <w:numFmt w:val="decimal"/>
      <w:lvlText w:val="%1."/>
      <w:lvlJc w:val="left"/>
      <w:pPr>
        <w:tabs>
          <w:tab w:val="num" w:pos="2130"/>
        </w:tabs>
        <w:ind w:left="2130" w:hanging="2130"/>
      </w:pPr>
      <w:rPr>
        <w:rFonts w:hint="default"/>
      </w:rPr>
    </w:lvl>
    <w:lvl w:ilvl="1">
      <w:start w:val="1"/>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8B7001D"/>
    <w:multiLevelType w:val="multilevel"/>
    <w:tmpl w:val="00A4D442"/>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3FA025D"/>
    <w:multiLevelType w:val="multilevel"/>
    <w:tmpl w:val="C77C596A"/>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3552"/>
        </w:tabs>
        <w:ind w:left="3552" w:hanging="720"/>
      </w:pPr>
      <w:rPr>
        <w:rFonts w:hint="default"/>
      </w:rPr>
    </w:lvl>
    <w:lvl w:ilvl="2">
      <w:start w:val="1"/>
      <w:numFmt w:val="decimal"/>
      <w:lvlText w:val="%1.%2.%3."/>
      <w:lvlJc w:val="left"/>
      <w:pPr>
        <w:tabs>
          <w:tab w:val="num" w:pos="6384"/>
        </w:tabs>
        <w:ind w:left="6384" w:hanging="720"/>
      </w:pPr>
      <w:rPr>
        <w:rFonts w:hint="default"/>
      </w:rPr>
    </w:lvl>
    <w:lvl w:ilvl="3">
      <w:start w:val="1"/>
      <w:numFmt w:val="decimal"/>
      <w:lvlText w:val="%1.%2.%3.%4."/>
      <w:lvlJc w:val="left"/>
      <w:pPr>
        <w:tabs>
          <w:tab w:val="num" w:pos="9576"/>
        </w:tabs>
        <w:ind w:left="9576" w:hanging="1080"/>
      </w:pPr>
      <w:rPr>
        <w:rFonts w:hint="default"/>
      </w:rPr>
    </w:lvl>
    <w:lvl w:ilvl="4">
      <w:start w:val="1"/>
      <w:numFmt w:val="decimal"/>
      <w:lvlText w:val="%1.%2.%3.%4.%5."/>
      <w:lvlJc w:val="left"/>
      <w:pPr>
        <w:tabs>
          <w:tab w:val="num" w:pos="12768"/>
        </w:tabs>
        <w:ind w:left="12768" w:hanging="1440"/>
      </w:pPr>
      <w:rPr>
        <w:rFonts w:hint="default"/>
      </w:rPr>
    </w:lvl>
    <w:lvl w:ilvl="5">
      <w:start w:val="1"/>
      <w:numFmt w:val="decimal"/>
      <w:lvlText w:val="%1.%2.%3.%4.%5.%6."/>
      <w:lvlJc w:val="left"/>
      <w:pPr>
        <w:tabs>
          <w:tab w:val="num" w:pos="15600"/>
        </w:tabs>
        <w:ind w:left="15600" w:hanging="1440"/>
      </w:pPr>
      <w:rPr>
        <w:rFonts w:hint="default"/>
      </w:rPr>
    </w:lvl>
    <w:lvl w:ilvl="6">
      <w:start w:val="1"/>
      <w:numFmt w:val="decimal"/>
      <w:lvlText w:val="%1.%2.%3.%4.%5.%6.%7."/>
      <w:lvlJc w:val="left"/>
      <w:pPr>
        <w:tabs>
          <w:tab w:val="num" w:pos="18792"/>
        </w:tabs>
        <w:ind w:left="18792" w:hanging="1800"/>
      </w:pPr>
      <w:rPr>
        <w:rFonts w:hint="default"/>
      </w:rPr>
    </w:lvl>
    <w:lvl w:ilvl="7">
      <w:start w:val="1"/>
      <w:numFmt w:val="decimal"/>
      <w:lvlText w:val="%1.%2.%3.%4.%5.%6.%7.%8."/>
      <w:lvlJc w:val="left"/>
      <w:pPr>
        <w:tabs>
          <w:tab w:val="num" w:pos="21624"/>
        </w:tabs>
        <w:ind w:left="21624" w:hanging="1800"/>
      </w:pPr>
      <w:rPr>
        <w:rFonts w:hint="default"/>
      </w:rPr>
    </w:lvl>
    <w:lvl w:ilvl="8">
      <w:start w:val="1"/>
      <w:numFmt w:val="decimal"/>
      <w:lvlText w:val="%1.%2.%3.%4.%5.%6.%7.%8.%9."/>
      <w:lvlJc w:val="left"/>
      <w:pPr>
        <w:tabs>
          <w:tab w:val="num" w:pos="24816"/>
        </w:tabs>
        <w:ind w:left="24816" w:hanging="2160"/>
      </w:pPr>
      <w:rPr>
        <w:rFonts w:hint="default"/>
      </w:rPr>
    </w:lvl>
  </w:abstractNum>
  <w:abstractNum w:abstractNumId="10">
    <w:nsid w:val="4701461B"/>
    <w:multiLevelType w:val="multilevel"/>
    <w:tmpl w:val="783AAEE0"/>
    <w:lvl w:ilvl="0">
      <w:start w:val="4"/>
      <w:numFmt w:val="decimal"/>
      <w:lvlText w:val="%1."/>
      <w:lvlJc w:val="left"/>
      <w:pPr>
        <w:tabs>
          <w:tab w:val="num" w:pos="2130"/>
        </w:tabs>
        <w:ind w:left="2130" w:hanging="2130"/>
      </w:pPr>
      <w:rPr>
        <w:rFonts w:hint="default"/>
      </w:rPr>
    </w:lvl>
    <w:lvl w:ilvl="1">
      <w:start w:val="1"/>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8441849"/>
    <w:multiLevelType w:val="hybridMultilevel"/>
    <w:tmpl w:val="BB540302"/>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12">
    <w:nsid w:val="62E77F0A"/>
    <w:multiLevelType w:val="singleLevel"/>
    <w:tmpl w:val="E460EF1C"/>
    <w:lvl w:ilvl="0">
      <w:start w:val="1"/>
      <w:numFmt w:val="lowerRoman"/>
      <w:lvlText w:val="%1)"/>
      <w:lvlJc w:val="left"/>
      <w:pPr>
        <w:tabs>
          <w:tab w:val="num" w:pos="720"/>
        </w:tabs>
        <w:ind w:left="720" w:hanging="720"/>
      </w:pPr>
      <w:rPr>
        <w:rFonts w:hint="default"/>
      </w:rPr>
    </w:lvl>
  </w:abstractNum>
  <w:abstractNum w:abstractNumId="13">
    <w:nsid w:val="63EE6E3E"/>
    <w:multiLevelType w:val="singleLevel"/>
    <w:tmpl w:val="1DF22202"/>
    <w:lvl w:ilvl="0">
      <w:start w:val="1"/>
      <w:numFmt w:val="lowerRoman"/>
      <w:lvlText w:val="%1)"/>
      <w:lvlJc w:val="left"/>
      <w:pPr>
        <w:tabs>
          <w:tab w:val="num" w:pos="720"/>
        </w:tabs>
        <w:ind w:left="720" w:hanging="720"/>
      </w:pPr>
      <w:rPr>
        <w:rFonts w:hint="default"/>
      </w:rPr>
    </w:lvl>
  </w:abstractNum>
  <w:abstractNum w:abstractNumId="14">
    <w:nsid w:val="6637207F"/>
    <w:multiLevelType w:val="singleLevel"/>
    <w:tmpl w:val="A442ED3E"/>
    <w:lvl w:ilvl="0">
      <w:start w:val="1"/>
      <w:numFmt w:val="upperRoman"/>
      <w:lvlText w:val="%1)"/>
      <w:lvlJc w:val="left"/>
      <w:pPr>
        <w:tabs>
          <w:tab w:val="num" w:pos="720"/>
        </w:tabs>
        <w:ind w:left="720" w:hanging="720"/>
      </w:pPr>
      <w:rPr>
        <w:rFonts w:hint="default"/>
      </w:rPr>
    </w:lvl>
  </w:abstractNum>
  <w:abstractNum w:abstractNumId="15">
    <w:nsid w:val="70537E9E"/>
    <w:multiLevelType w:val="hybridMultilevel"/>
    <w:tmpl w:val="FC6676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5690FD2"/>
    <w:multiLevelType w:val="hybridMultilevel"/>
    <w:tmpl w:val="24B6D40A"/>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4"/>
  </w:num>
  <w:num w:numId="4">
    <w:abstractNumId w:val="3"/>
  </w:num>
  <w:num w:numId="5">
    <w:abstractNumId w:val="7"/>
  </w:num>
  <w:num w:numId="6">
    <w:abstractNumId w:val="14"/>
  </w:num>
  <w:num w:numId="7">
    <w:abstractNumId w:val="5"/>
  </w:num>
  <w:num w:numId="8">
    <w:abstractNumId w:val="2"/>
  </w:num>
  <w:num w:numId="9">
    <w:abstractNumId w:val="8"/>
  </w:num>
  <w:num w:numId="10">
    <w:abstractNumId w:val="9"/>
  </w:num>
  <w:num w:numId="11">
    <w:abstractNumId w:val="12"/>
  </w:num>
  <w:num w:numId="12">
    <w:abstractNumId w:val="13"/>
  </w:num>
  <w:num w:numId="13">
    <w:abstractNumId w:val="6"/>
  </w:num>
  <w:num w:numId="14">
    <w:abstractNumId w:val="0"/>
  </w:num>
  <w:num w:numId="15">
    <w:abstractNumId w:val="16"/>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729C6"/>
    <w:rsid w:val="00000458"/>
    <w:rsid w:val="00001663"/>
    <w:rsid w:val="00003047"/>
    <w:rsid w:val="000126D4"/>
    <w:rsid w:val="000161BA"/>
    <w:rsid w:val="0002047A"/>
    <w:rsid w:val="000230D2"/>
    <w:rsid w:val="0002503A"/>
    <w:rsid w:val="00025A86"/>
    <w:rsid w:val="000314A4"/>
    <w:rsid w:val="000322C5"/>
    <w:rsid w:val="0003283F"/>
    <w:rsid w:val="0003394D"/>
    <w:rsid w:val="00034150"/>
    <w:rsid w:val="00036BF4"/>
    <w:rsid w:val="0003716C"/>
    <w:rsid w:val="000400E4"/>
    <w:rsid w:val="00043143"/>
    <w:rsid w:val="00044227"/>
    <w:rsid w:val="00045999"/>
    <w:rsid w:val="00053369"/>
    <w:rsid w:val="00055882"/>
    <w:rsid w:val="0006005E"/>
    <w:rsid w:val="0006104A"/>
    <w:rsid w:val="000624E2"/>
    <w:rsid w:val="00070D7E"/>
    <w:rsid w:val="00075ACF"/>
    <w:rsid w:val="00082269"/>
    <w:rsid w:val="00085332"/>
    <w:rsid w:val="000937A2"/>
    <w:rsid w:val="000A07CE"/>
    <w:rsid w:val="000A261A"/>
    <w:rsid w:val="000B0C8A"/>
    <w:rsid w:val="000B1060"/>
    <w:rsid w:val="000B28E9"/>
    <w:rsid w:val="000B466E"/>
    <w:rsid w:val="000B52F6"/>
    <w:rsid w:val="000B6EF1"/>
    <w:rsid w:val="000C01C4"/>
    <w:rsid w:val="000C068C"/>
    <w:rsid w:val="000C154A"/>
    <w:rsid w:val="000C1FCC"/>
    <w:rsid w:val="000C505C"/>
    <w:rsid w:val="000D0489"/>
    <w:rsid w:val="000D5645"/>
    <w:rsid w:val="000D7A6D"/>
    <w:rsid w:val="000E0D94"/>
    <w:rsid w:val="000E1981"/>
    <w:rsid w:val="000E1B08"/>
    <w:rsid w:val="000E1B39"/>
    <w:rsid w:val="000E1BC1"/>
    <w:rsid w:val="000E3301"/>
    <w:rsid w:val="000E3E46"/>
    <w:rsid w:val="000E675B"/>
    <w:rsid w:val="000E68C4"/>
    <w:rsid w:val="000F0DA3"/>
    <w:rsid w:val="000F6AA5"/>
    <w:rsid w:val="00101E44"/>
    <w:rsid w:val="00103EC3"/>
    <w:rsid w:val="001052CE"/>
    <w:rsid w:val="00105709"/>
    <w:rsid w:val="00110D74"/>
    <w:rsid w:val="00113063"/>
    <w:rsid w:val="00114CB8"/>
    <w:rsid w:val="00115FA7"/>
    <w:rsid w:val="001202F5"/>
    <w:rsid w:val="001209A3"/>
    <w:rsid w:val="00120A81"/>
    <w:rsid w:val="001333D9"/>
    <w:rsid w:val="0013343C"/>
    <w:rsid w:val="0013346F"/>
    <w:rsid w:val="001342D0"/>
    <w:rsid w:val="00137F35"/>
    <w:rsid w:val="00142249"/>
    <w:rsid w:val="00146E9A"/>
    <w:rsid w:val="00150195"/>
    <w:rsid w:val="00150A1C"/>
    <w:rsid w:val="001533A4"/>
    <w:rsid w:val="00154E5D"/>
    <w:rsid w:val="00155A56"/>
    <w:rsid w:val="00156507"/>
    <w:rsid w:val="00162089"/>
    <w:rsid w:val="00162939"/>
    <w:rsid w:val="00162DB7"/>
    <w:rsid w:val="0016635F"/>
    <w:rsid w:val="001676E0"/>
    <w:rsid w:val="00171154"/>
    <w:rsid w:val="00172642"/>
    <w:rsid w:val="00172B0D"/>
    <w:rsid w:val="001809FA"/>
    <w:rsid w:val="001815D4"/>
    <w:rsid w:val="00183482"/>
    <w:rsid w:val="00186604"/>
    <w:rsid w:val="00186B96"/>
    <w:rsid w:val="00195730"/>
    <w:rsid w:val="001957F2"/>
    <w:rsid w:val="001A062C"/>
    <w:rsid w:val="001A2383"/>
    <w:rsid w:val="001A2684"/>
    <w:rsid w:val="001A716C"/>
    <w:rsid w:val="001A71D4"/>
    <w:rsid w:val="001A72B3"/>
    <w:rsid w:val="001A7774"/>
    <w:rsid w:val="001B0A85"/>
    <w:rsid w:val="001B16B8"/>
    <w:rsid w:val="001B301C"/>
    <w:rsid w:val="001B3510"/>
    <w:rsid w:val="001B478B"/>
    <w:rsid w:val="001B611F"/>
    <w:rsid w:val="001B6EFA"/>
    <w:rsid w:val="001C1EBA"/>
    <w:rsid w:val="001D24A8"/>
    <w:rsid w:val="001D618C"/>
    <w:rsid w:val="001D7951"/>
    <w:rsid w:val="001E154D"/>
    <w:rsid w:val="001F030D"/>
    <w:rsid w:val="001F3A2B"/>
    <w:rsid w:val="001F4084"/>
    <w:rsid w:val="001F4933"/>
    <w:rsid w:val="001F4954"/>
    <w:rsid w:val="001F6624"/>
    <w:rsid w:val="001F6D9C"/>
    <w:rsid w:val="002003C0"/>
    <w:rsid w:val="00200D9B"/>
    <w:rsid w:val="00202F11"/>
    <w:rsid w:val="0020661D"/>
    <w:rsid w:val="00207620"/>
    <w:rsid w:val="00212148"/>
    <w:rsid w:val="002152A3"/>
    <w:rsid w:val="00217275"/>
    <w:rsid w:val="002211BE"/>
    <w:rsid w:val="002214FA"/>
    <w:rsid w:val="00224B5B"/>
    <w:rsid w:val="00224BD8"/>
    <w:rsid w:val="00225BC5"/>
    <w:rsid w:val="002346FA"/>
    <w:rsid w:val="00234D15"/>
    <w:rsid w:val="00240AA6"/>
    <w:rsid w:val="00243F1A"/>
    <w:rsid w:val="002446C4"/>
    <w:rsid w:val="00245813"/>
    <w:rsid w:val="00245A25"/>
    <w:rsid w:val="00245AB1"/>
    <w:rsid w:val="00247682"/>
    <w:rsid w:val="002532D5"/>
    <w:rsid w:val="00261EC5"/>
    <w:rsid w:val="002625F1"/>
    <w:rsid w:val="0026274F"/>
    <w:rsid w:val="00266A80"/>
    <w:rsid w:val="00271A93"/>
    <w:rsid w:val="0027238A"/>
    <w:rsid w:val="00275867"/>
    <w:rsid w:val="0028399C"/>
    <w:rsid w:val="002846C6"/>
    <w:rsid w:val="00285B9B"/>
    <w:rsid w:val="00286F9A"/>
    <w:rsid w:val="00287483"/>
    <w:rsid w:val="002900F7"/>
    <w:rsid w:val="00291D20"/>
    <w:rsid w:val="00295AF4"/>
    <w:rsid w:val="002A56CE"/>
    <w:rsid w:val="002A601A"/>
    <w:rsid w:val="002A73B6"/>
    <w:rsid w:val="002B264C"/>
    <w:rsid w:val="002B3CC6"/>
    <w:rsid w:val="002B4AEE"/>
    <w:rsid w:val="002B7514"/>
    <w:rsid w:val="002B7AC4"/>
    <w:rsid w:val="002C1EB8"/>
    <w:rsid w:val="002C4810"/>
    <w:rsid w:val="002C62C6"/>
    <w:rsid w:val="002C675F"/>
    <w:rsid w:val="002D0303"/>
    <w:rsid w:val="002E0B39"/>
    <w:rsid w:val="002E5B5C"/>
    <w:rsid w:val="002F70D9"/>
    <w:rsid w:val="003039C5"/>
    <w:rsid w:val="00311E4F"/>
    <w:rsid w:val="003143F1"/>
    <w:rsid w:val="00315230"/>
    <w:rsid w:val="00316442"/>
    <w:rsid w:val="00320B07"/>
    <w:rsid w:val="0032434D"/>
    <w:rsid w:val="00325DFD"/>
    <w:rsid w:val="00327DA8"/>
    <w:rsid w:val="00340629"/>
    <w:rsid w:val="00340C98"/>
    <w:rsid w:val="00340E3D"/>
    <w:rsid w:val="00341239"/>
    <w:rsid w:val="00341701"/>
    <w:rsid w:val="003468E7"/>
    <w:rsid w:val="00350645"/>
    <w:rsid w:val="00350B8B"/>
    <w:rsid w:val="00351555"/>
    <w:rsid w:val="0035169A"/>
    <w:rsid w:val="00353C73"/>
    <w:rsid w:val="00354886"/>
    <w:rsid w:val="00356086"/>
    <w:rsid w:val="00356523"/>
    <w:rsid w:val="00357762"/>
    <w:rsid w:val="003616AF"/>
    <w:rsid w:val="00361E1A"/>
    <w:rsid w:val="00363203"/>
    <w:rsid w:val="00364190"/>
    <w:rsid w:val="00364548"/>
    <w:rsid w:val="00376209"/>
    <w:rsid w:val="0037676D"/>
    <w:rsid w:val="00381AE6"/>
    <w:rsid w:val="0038203F"/>
    <w:rsid w:val="003827B2"/>
    <w:rsid w:val="0038500D"/>
    <w:rsid w:val="00385F97"/>
    <w:rsid w:val="00390336"/>
    <w:rsid w:val="003944CC"/>
    <w:rsid w:val="00396B0E"/>
    <w:rsid w:val="003A0CF1"/>
    <w:rsid w:val="003A109F"/>
    <w:rsid w:val="003A11AF"/>
    <w:rsid w:val="003A184A"/>
    <w:rsid w:val="003A44AB"/>
    <w:rsid w:val="003A5175"/>
    <w:rsid w:val="003A6798"/>
    <w:rsid w:val="003B411D"/>
    <w:rsid w:val="003B5415"/>
    <w:rsid w:val="003B5B2B"/>
    <w:rsid w:val="003B6060"/>
    <w:rsid w:val="003B6303"/>
    <w:rsid w:val="003B6349"/>
    <w:rsid w:val="003B78AB"/>
    <w:rsid w:val="003C4B75"/>
    <w:rsid w:val="003C6C52"/>
    <w:rsid w:val="003D004E"/>
    <w:rsid w:val="003D01FA"/>
    <w:rsid w:val="003D18ED"/>
    <w:rsid w:val="003D28E2"/>
    <w:rsid w:val="003D295C"/>
    <w:rsid w:val="003D425E"/>
    <w:rsid w:val="003D7E8E"/>
    <w:rsid w:val="003E16F0"/>
    <w:rsid w:val="003E2405"/>
    <w:rsid w:val="003E2D6C"/>
    <w:rsid w:val="003E3927"/>
    <w:rsid w:val="003E3ED1"/>
    <w:rsid w:val="003E47EA"/>
    <w:rsid w:val="003E5248"/>
    <w:rsid w:val="003E72AF"/>
    <w:rsid w:val="003F0732"/>
    <w:rsid w:val="003F0B74"/>
    <w:rsid w:val="003F152A"/>
    <w:rsid w:val="003F2380"/>
    <w:rsid w:val="00400359"/>
    <w:rsid w:val="00401B69"/>
    <w:rsid w:val="00402EB0"/>
    <w:rsid w:val="00403DB2"/>
    <w:rsid w:val="00407E03"/>
    <w:rsid w:val="00416C6C"/>
    <w:rsid w:val="0042538E"/>
    <w:rsid w:val="0042619C"/>
    <w:rsid w:val="004307BD"/>
    <w:rsid w:val="0043106F"/>
    <w:rsid w:val="004352E7"/>
    <w:rsid w:val="0043614A"/>
    <w:rsid w:val="004434A0"/>
    <w:rsid w:val="00444097"/>
    <w:rsid w:val="00447096"/>
    <w:rsid w:val="00450B4D"/>
    <w:rsid w:val="0045133F"/>
    <w:rsid w:val="004514E0"/>
    <w:rsid w:val="00455038"/>
    <w:rsid w:val="00456CDF"/>
    <w:rsid w:val="0045713A"/>
    <w:rsid w:val="00457307"/>
    <w:rsid w:val="00457FCE"/>
    <w:rsid w:val="0046144B"/>
    <w:rsid w:val="00462D32"/>
    <w:rsid w:val="00463EEF"/>
    <w:rsid w:val="00464AF4"/>
    <w:rsid w:val="00465659"/>
    <w:rsid w:val="0046791D"/>
    <w:rsid w:val="00471331"/>
    <w:rsid w:val="0047266F"/>
    <w:rsid w:val="00481F9E"/>
    <w:rsid w:val="004822AE"/>
    <w:rsid w:val="004835D7"/>
    <w:rsid w:val="0048574F"/>
    <w:rsid w:val="00492439"/>
    <w:rsid w:val="00496AFE"/>
    <w:rsid w:val="004A2755"/>
    <w:rsid w:val="004B143D"/>
    <w:rsid w:val="004B329A"/>
    <w:rsid w:val="004B4E59"/>
    <w:rsid w:val="004B53F8"/>
    <w:rsid w:val="004C0D0E"/>
    <w:rsid w:val="004C1ACB"/>
    <w:rsid w:val="004C1F87"/>
    <w:rsid w:val="004C2472"/>
    <w:rsid w:val="004C4368"/>
    <w:rsid w:val="004C47C7"/>
    <w:rsid w:val="004C4BAB"/>
    <w:rsid w:val="004D640A"/>
    <w:rsid w:val="004D6930"/>
    <w:rsid w:val="004D7C89"/>
    <w:rsid w:val="004E17B4"/>
    <w:rsid w:val="004E22D6"/>
    <w:rsid w:val="004F2ED6"/>
    <w:rsid w:val="004F3637"/>
    <w:rsid w:val="004F40F8"/>
    <w:rsid w:val="004F46C0"/>
    <w:rsid w:val="004F6319"/>
    <w:rsid w:val="004F682F"/>
    <w:rsid w:val="004F7278"/>
    <w:rsid w:val="00501AD6"/>
    <w:rsid w:val="00504A05"/>
    <w:rsid w:val="005054DB"/>
    <w:rsid w:val="00505656"/>
    <w:rsid w:val="00505B31"/>
    <w:rsid w:val="0051127B"/>
    <w:rsid w:val="0051493D"/>
    <w:rsid w:val="00514C1B"/>
    <w:rsid w:val="005166C4"/>
    <w:rsid w:val="005177EE"/>
    <w:rsid w:val="005217EF"/>
    <w:rsid w:val="00526E5A"/>
    <w:rsid w:val="00531644"/>
    <w:rsid w:val="0053392C"/>
    <w:rsid w:val="005339AF"/>
    <w:rsid w:val="005405A1"/>
    <w:rsid w:val="00540FBC"/>
    <w:rsid w:val="00541E84"/>
    <w:rsid w:val="00544EDB"/>
    <w:rsid w:val="0054586A"/>
    <w:rsid w:val="00560779"/>
    <w:rsid w:val="00561A74"/>
    <w:rsid w:val="00563861"/>
    <w:rsid w:val="0056598A"/>
    <w:rsid w:val="00575346"/>
    <w:rsid w:val="00577B2D"/>
    <w:rsid w:val="0058392E"/>
    <w:rsid w:val="00585CFA"/>
    <w:rsid w:val="00587A8E"/>
    <w:rsid w:val="005A06E5"/>
    <w:rsid w:val="005A16AF"/>
    <w:rsid w:val="005A5255"/>
    <w:rsid w:val="005A6229"/>
    <w:rsid w:val="005A6E71"/>
    <w:rsid w:val="005B27FE"/>
    <w:rsid w:val="005B3F40"/>
    <w:rsid w:val="005B4D4B"/>
    <w:rsid w:val="005B666F"/>
    <w:rsid w:val="005B7B60"/>
    <w:rsid w:val="005C330E"/>
    <w:rsid w:val="005C7811"/>
    <w:rsid w:val="005D0110"/>
    <w:rsid w:val="005D31EE"/>
    <w:rsid w:val="005D4371"/>
    <w:rsid w:val="005D5541"/>
    <w:rsid w:val="005D7AEB"/>
    <w:rsid w:val="005E139B"/>
    <w:rsid w:val="005E2AC8"/>
    <w:rsid w:val="005E3E9E"/>
    <w:rsid w:val="005E4C35"/>
    <w:rsid w:val="005E6027"/>
    <w:rsid w:val="005F0D93"/>
    <w:rsid w:val="005F3A42"/>
    <w:rsid w:val="005F54C1"/>
    <w:rsid w:val="005F5A45"/>
    <w:rsid w:val="005F5B19"/>
    <w:rsid w:val="005F6CFA"/>
    <w:rsid w:val="0060203B"/>
    <w:rsid w:val="006020DF"/>
    <w:rsid w:val="00602738"/>
    <w:rsid w:val="00605E84"/>
    <w:rsid w:val="00606A95"/>
    <w:rsid w:val="00607C5A"/>
    <w:rsid w:val="00607FE6"/>
    <w:rsid w:val="006100CB"/>
    <w:rsid w:val="00610E47"/>
    <w:rsid w:val="0061358B"/>
    <w:rsid w:val="00613B66"/>
    <w:rsid w:val="00614003"/>
    <w:rsid w:val="00614629"/>
    <w:rsid w:val="006154F6"/>
    <w:rsid w:val="00616902"/>
    <w:rsid w:val="00627362"/>
    <w:rsid w:val="006325D5"/>
    <w:rsid w:val="00632C77"/>
    <w:rsid w:val="0063676A"/>
    <w:rsid w:val="00636960"/>
    <w:rsid w:val="0064091E"/>
    <w:rsid w:val="0064194F"/>
    <w:rsid w:val="0064635D"/>
    <w:rsid w:val="006469E8"/>
    <w:rsid w:val="00652E8C"/>
    <w:rsid w:val="006537D4"/>
    <w:rsid w:val="006547D8"/>
    <w:rsid w:val="00660083"/>
    <w:rsid w:val="00666534"/>
    <w:rsid w:val="00667F80"/>
    <w:rsid w:val="0067364A"/>
    <w:rsid w:val="00677738"/>
    <w:rsid w:val="00680AD9"/>
    <w:rsid w:val="00680D9C"/>
    <w:rsid w:val="006816A2"/>
    <w:rsid w:val="0068360D"/>
    <w:rsid w:val="006920DA"/>
    <w:rsid w:val="00696CDE"/>
    <w:rsid w:val="006A1981"/>
    <w:rsid w:val="006A30B7"/>
    <w:rsid w:val="006A7B1F"/>
    <w:rsid w:val="006A7BE3"/>
    <w:rsid w:val="006B1D6A"/>
    <w:rsid w:val="006B24E1"/>
    <w:rsid w:val="006B2D2B"/>
    <w:rsid w:val="006B5BBE"/>
    <w:rsid w:val="006B7DCF"/>
    <w:rsid w:val="006C1DEB"/>
    <w:rsid w:val="006C43DF"/>
    <w:rsid w:val="006C5D7E"/>
    <w:rsid w:val="006C7573"/>
    <w:rsid w:val="006C7BA5"/>
    <w:rsid w:val="006D001E"/>
    <w:rsid w:val="006D1A3C"/>
    <w:rsid w:val="006D3696"/>
    <w:rsid w:val="006E09E3"/>
    <w:rsid w:val="006E6A91"/>
    <w:rsid w:val="006F6E4A"/>
    <w:rsid w:val="0070792A"/>
    <w:rsid w:val="00707EC7"/>
    <w:rsid w:val="00710704"/>
    <w:rsid w:val="007122C4"/>
    <w:rsid w:val="00712E2E"/>
    <w:rsid w:val="00715545"/>
    <w:rsid w:val="00722D44"/>
    <w:rsid w:val="00723A1F"/>
    <w:rsid w:val="00734A41"/>
    <w:rsid w:val="007375A0"/>
    <w:rsid w:val="007403F3"/>
    <w:rsid w:val="00746D59"/>
    <w:rsid w:val="007476CC"/>
    <w:rsid w:val="00750893"/>
    <w:rsid w:val="00751CEC"/>
    <w:rsid w:val="007538F8"/>
    <w:rsid w:val="0075408B"/>
    <w:rsid w:val="007543C3"/>
    <w:rsid w:val="00755D06"/>
    <w:rsid w:val="00760239"/>
    <w:rsid w:val="007602D6"/>
    <w:rsid w:val="007618E3"/>
    <w:rsid w:val="00761D15"/>
    <w:rsid w:val="00762587"/>
    <w:rsid w:val="0076280F"/>
    <w:rsid w:val="0076304D"/>
    <w:rsid w:val="00763BB0"/>
    <w:rsid w:val="00766878"/>
    <w:rsid w:val="0077303E"/>
    <w:rsid w:val="0078255A"/>
    <w:rsid w:val="0078396C"/>
    <w:rsid w:val="00783E49"/>
    <w:rsid w:val="00785148"/>
    <w:rsid w:val="00785CCD"/>
    <w:rsid w:val="00786878"/>
    <w:rsid w:val="00791E99"/>
    <w:rsid w:val="00791F2A"/>
    <w:rsid w:val="00792ABE"/>
    <w:rsid w:val="0079329D"/>
    <w:rsid w:val="007A0639"/>
    <w:rsid w:val="007A1D86"/>
    <w:rsid w:val="007A3579"/>
    <w:rsid w:val="007A3D3E"/>
    <w:rsid w:val="007A6F7C"/>
    <w:rsid w:val="007B0723"/>
    <w:rsid w:val="007B0B68"/>
    <w:rsid w:val="007B10D3"/>
    <w:rsid w:val="007B22CA"/>
    <w:rsid w:val="007B4B96"/>
    <w:rsid w:val="007B63C3"/>
    <w:rsid w:val="007B78CC"/>
    <w:rsid w:val="007C2AD8"/>
    <w:rsid w:val="007C7609"/>
    <w:rsid w:val="007C7CA2"/>
    <w:rsid w:val="007D0E72"/>
    <w:rsid w:val="007D2970"/>
    <w:rsid w:val="007D2B3A"/>
    <w:rsid w:val="007D54E4"/>
    <w:rsid w:val="007D5E7B"/>
    <w:rsid w:val="007D76BE"/>
    <w:rsid w:val="007D79E0"/>
    <w:rsid w:val="007E09CD"/>
    <w:rsid w:val="007E37A2"/>
    <w:rsid w:val="007E5E47"/>
    <w:rsid w:val="007E675A"/>
    <w:rsid w:val="007E7C5A"/>
    <w:rsid w:val="007F3269"/>
    <w:rsid w:val="007F646E"/>
    <w:rsid w:val="00800FD3"/>
    <w:rsid w:val="00801680"/>
    <w:rsid w:val="0080299C"/>
    <w:rsid w:val="00804606"/>
    <w:rsid w:val="00804A83"/>
    <w:rsid w:val="008061A0"/>
    <w:rsid w:val="008107B9"/>
    <w:rsid w:val="0081535A"/>
    <w:rsid w:val="00821670"/>
    <w:rsid w:val="00821DE0"/>
    <w:rsid w:val="0082220A"/>
    <w:rsid w:val="0082237B"/>
    <w:rsid w:val="008228CE"/>
    <w:rsid w:val="008248F2"/>
    <w:rsid w:val="00827AE0"/>
    <w:rsid w:val="00830038"/>
    <w:rsid w:val="00834487"/>
    <w:rsid w:val="00834642"/>
    <w:rsid w:val="00835BB9"/>
    <w:rsid w:val="00836CF3"/>
    <w:rsid w:val="00841EC9"/>
    <w:rsid w:val="008422A4"/>
    <w:rsid w:val="008427FE"/>
    <w:rsid w:val="00842A5C"/>
    <w:rsid w:val="008463FC"/>
    <w:rsid w:val="0085024B"/>
    <w:rsid w:val="00850C19"/>
    <w:rsid w:val="00850FA1"/>
    <w:rsid w:val="00852064"/>
    <w:rsid w:val="00852B90"/>
    <w:rsid w:val="008604EA"/>
    <w:rsid w:val="00862081"/>
    <w:rsid w:val="00862EE0"/>
    <w:rsid w:val="00862F24"/>
    <w:rsid w:val="008639A9"/>
    <w:rsid w:val="008669DD"/>
    <w:rsid w:val="00873C2C"/>
    <w:rsid w:val="00874A76"/>
    <w:rsid w:val="00875308"/>
    <w:rsid w:val="00883C6D"/>
    <w:rsid w:val="00883FD7"/>
    <w:rsid w:val="00890CAF"/>
    <w:rsid w:val="00890EDA"/>
    <w:rsid w:val="008A0845"/>
    <w:rsid w:val="008A17E4"/>
    <w:rsid w:val="008A2866"/>
    <w:rsid w:val="008A286E"/>
    <w:rsid w:val="008A7AFD"/>
    <w:rsid w:val="008B0743"/>
    <w:rsid w:val="008B1F01"/>
    <w:rsid w:val="008B2735"/>
    <w:rsid w:val="008C0337"/>
    <w:rsid w:val="008C6299"/>
    <w:rsid w:val="008C6D2F"/>
    <w:rsid w:val="008C75CB"/>
    <w:rsid w:val="008D09C2"/>
    <w:rsid w:val="008D4899"/>
    <w:rsid w:val="008D5363"/>
    <w:rsid w:val="008E10BF"/>
    <w:rsid w:val="008E2851"/>
    <w:rsid w:val="008F3A11"/>
    <w:rsid w:val="008F5177"/>
    <w:rsid w:val="008F5970"/>
    <w:rsid w:val="008F6729"/>
    <w:rsid w:val="008F6BB7"/>
    <w:rsid w:val="00900473"/>
    <w:rsid w:val="0090331A"/>
    <w:rsid w:val="00904E2D"/>
    <w:rsid w:val="00904E59"/>
    <w:rsid w:val="00906562"/>
    <w:rsid w:val="0090686B"/>
    <w:rsid w:val="0091055B"/>
    <w:rsid w:val="00910B4E"/>
    <w:rsid w:val="009158B6"/>
    <w:rsid w:val="00915A40"/>
    <w:rsid w:val="00920395"/>
    <w:rsid w:val="0092174D"/>
    <w:rsid w:val="009219F3"/>
    <w:rsid w:val="00925812"/>
    <w:rsid w:val="00925FA9"/>
    <w:rsid w:val="00926797"/>
    <w:rsid w:val="0093107B"/>
    <w:rsid w:val="00932FFD"/>
    <w:rsid w:val="0093427E"/>
    <w:rsid w:val="009343AF"/>
    <w:rsid w:val="009404FB"/>
    <w:rsid w:val="00942174"/>
    <w:rsid w:val="00943361"/>
    <w:rsid w:val="00943A85"/>
    <w:rsid w:val="00944FEE"/>
    <w:rsid w:val="00946393"/>
    <w:rsid w:val="009538AB"/>
    <w:rsid w:val="009538F1"/>
    <w:rsid w:val="00953DAA"/>
    <w:rsid w:val="00957F75"/>
    <w:rsid w:val="0096063B"/>
    <w:rsid w:val="00962C62"/>
    <w:rsid w:val="00963577"/>
    <w:rsid w:val="0096432B"/>
    <w:rsid w:val="009656BB"/>
    <w:rsid w:val="009659F4"/>
    <w:rsid w:val="0096650F"/>
    <w:rsid w:val="00972E9B"/>
    <w:rsid w:val="00973CB0"/>
    <w:rsid w:val="00986651"/>
    <w:rsid w:val="009905BA"/>
    <w:rsid w:val="00991A0A"/>
    <w:rsid w:val="00991E5A"/>
    <w:rsid w:val="00992333"/>
    <w:rsid w:val="00993BC6"/>
    <w:rsid w:val="009961A6"/>
    <w:rsid w:val="00996C33"/>
    <w:rsid w:val="00996D35"/>
    <w:rsid w:val="009A495B"/>
    <w:rsid w:val="009A7F75"/>
    <w:rsid w:val="009B191C"/>
    <w:rsid w:val="009B463E"/>
    <w:rsid w:val="009B48E2"/>
    <w:rsid w:val="009C0411"/>
    <w:rsid w:val="009C1247"/>
    <w:rsid w:val="009C1987"/>
    <w:rsid w:val="009C31B4"/>
    <w:rsid w:val="009C68F4"/>
    <w:rsid w:val="009C6973"/>
    <w:rsid w:val="009D0B36"/>
    <w:rsid w:val="009D2510"/>
    <w:rsid w:val="009D2DC3"/>
    <w:rsid w:val="009D5F5E"/>
    <w:rsid w:val="009D6602"/>
    <w:rsid w:val="009E48FE"/>
    <w:rsid w:val="009F1CE3"/>
    <w:rsid w:val="009F4BEE"/>
    <w:rsid w:val="00A00DF8"/>
    <w:rsid w:val="00A06C0E"/>
    <w:rsid w:val="00A1135D"/>
    <w:rsid w:val="00A14595"/>
    <w:rsid w:val="00A244EF"/>
    <w:rsid w:val="00A24969"/>
    <w:rsid w:val="00A26920"/>
    <w:rsid w:val="00A30FAA"/>
    <w:rsid w:val="00A3424E"/>
    <w:rsid w:val="00A406E6"/>
    <w:rsid w:val="00A46B42"/>
    <w:rsid w:val="00A52566"/>
    <w:rsid w:val="00A67590"/>
    <w:rsid w:val="00A67A43"/>
    <w:rsid w:val="00A7013A"/>
    <w:rsid w:val="00A733FA"/>
    <w:rsid w:val="00A736DF"/>
    <w:rsid w:val="00A76C6A"/>
    <w:rsid w:val="00A773B6"/>
    <w:rsid w:val="00A84F58"/>
    <w:rsid w:val="00A86EB1"/>
    <w:rsid w:val="00A87084"/>
    <w:rsid w:val="00A910B9"/>
    <w:rsid w:val="00A956F7"/>
    <w:rsid w:val="00AA1FFC"/>
    <w:rsid w:val="00AA38CC"/>
    <w:rsid w:val="00AA6B0F"/>
    <w:rsid w:val="00AA7605"/>
    <w:rsid w:val="00AA78B4"/>
    <w:rsid w:val="00AB1F75"/>
    <w:rsid w:val="00AB2413"/>
    <w:rsid w:val="00AB339F"/>
    <w:rsid w:val="00AB67D5"/>
    <w:rsid w:val="00AB6E52"/>
    <w:rsid w:val="00AC0276"/>
    <w:rsid w:val="00AD5A9F"/>
    <w:rsid w:val="00AE1524"/>
    <w:rsid w:val="00AE49DB"/>
    <w:rsid w:val="00AE5259"/>
    <w:rsid w:val="00AE605C"/>
    <w:rsid w:val="00AE6F45"/>
    <w:rsid w:val="00AE6F61"/>
    <w:rsid w:val="00AE792E"/>
    <w:rsid w:val="00AF3104"/>
    <w:rsid w:val="00AF54FF"/>
    <w:rsid w:val="00AF58B0"/>
    <w:rsid w:val="00B0094D"/>
    <w:rsid w:val="00B01173"/>
    <w:rsid w:val="00B03720"/>
    <w:rsid w:val="00B11020"/>
    <w:rsid w:val="00B119E9"/>
    <w:rsid w:val="00B125E5"/>
    <w:rsid w:val="00B13A25"/>
    <w:rsid w:val="00B15657"/>
    <w:rsid w:val="00B20702"/>
    <w:rsid w:val="00B24DE7"/>
    <w:rsid w:val="00B260DA"/>
    <w:rsid w:val="00B26D69"/>
    <w:rsid w:val="00B27023"/>
    <w:rsid w:val="00B3176B"/>
    <w:rsid w:val="00B34C21"/>
    <w:rsid w:val="00B42159"/>
    <w:rsid w:val="00B445B0"/>
    <w:rsid w:val="00B4605F"/>
    <w:rsid w:val="00B5083C"/>
    <w:rsid w:val="00B517DF"/>
    <w:rsid w:val="00B51A5A"/>
    <w:rsid w:val="00B51C7F"/>
    <w:rsid w:val="00B543A2"/>
    <w:rsid w:val="00B614A6"/>
    <w:rsid w:val="00B639CF"/>
    <w:rsid w:val="00B64814"/>
    <w:rsid w:val="00B66E32"/>
    <w:rsid w:val="00B70CA7"/>
    <w:rsid w:val="00B71CDD"/>
    <w:rsid w:val="00B720C3"/>
    <w:rsid w:val="00B73B97"/>
    <w:rsid w:val="00B75865"/>
    <w:rsid w:val="00B75F2D"/>
    <w:rsid w:val="00B7645D"/>
    <w:rsid w:val="00B77012"/>
    <w:rsid w:val="00B80283"/>
    <w:rsid w:val="00B82659"/>
    <w:rsid w:val="00B84121"/>
    <w:rsid w:val="00B855F3"/>
    <w:rsid w:val="00B90DE1"/>
    <w:rsid w:val="00B967C6"/>
    <w:rsid w:val="00BA2A1C"/>
    <w:rsid w:val="00BA3DA8"/>
    <w:rsid w:val="00BB7D78"/>
    <w:rsid w:val="00BC1887"/>
    <w:rsid w:val="00BC2AF0"/>
    <w:rsid w:val="00BC2DB4"/>
    <w:rsid w:val="00BC31B0"/>
    <w:rsid w:val="00BC656A"/>
    <w:rsid w:val="00BC67EA"/>
    <w:rsid w:val="00BC7F2A"/>
    <w:rsid w:val="00BD0845"/>
    <w:rsid w:val="00BD581B"/>
    <w:rsid w:val="00BE0326"/>
    <w:rsid w:val="00BE2A5A"/>
    <w:rsid w:val="00BE4B91"/>
    <w:rsid w:val="00BE5302"/>
    <w:rsid w:val="00BE6575"/>
    <w:rsid w:val="00BE74AE"/>
    <w:rsid w:val="00BF0FA1"/>
    <w:rsid w:val="00BF1146"/>
    <w:rsid w:val="00BF2057"/>
    <w:rsid w:val="00BF2076"/>
    <w:rsid w:val="00BF7878"/>
    <w:rsid w:val="00C01BE7"/>
    <w:rsid w:val="00C03A11"/>
    <w:rsid w:val="00C03C2D"/>
    <w:rsid w:val="00C03D7F"/>
    <w:rsid w:val="00C04809"/>
    <w:rsid w:val="00C05A2B"/>
    <w:rsid w:val="00C05A6B"/>
    <w:rsid w:val="00C05BF2"/>
    <w:rsid w:val="00C10AB6"/>
    <w:rsid w:val="00C10F09"/>
    <w:rsid w:val="00C120B6"/>
    <w:rsid w:val="00C14BDE"/>
    <w:rsid w:val="00C159CE"/>
    <w:rsid w:val="00C17ED3"/>
    <w:rsid w:val="00C20490"/>
    <w:rsid w:val="00C23DC6"/>
    <w:rsid w:val="00C274AF"/>
    <w:rsid w:val="00C33A32"/>
    <w:rsid w:val="00C34AF8"/>
    <w:rsid w:val="00C37AA2"/>
    <w:rsid w:val="00C37EAB"/>
    <w:rsid w:val="00C44104"/>
    <w:rsid w:val="00C45A82"/>
    <w:rsid w:val="00C46F11"/>
    <w:rsid w:val="00C47A9B"/>
    <w:rsid w:val="00C538BC"/>
    <w:rsid w:val="00C53F7F"/>
    <w:rsid w:val="00C54BBC"/>
    <w:rsid w:val="00C57669"/>
    <w:rsid w:val="00C6670A"/>
    <w:rsid w:val="00C66BB9"/>
    <w:rsid w:val="00C67415"/>
    <w:rsid w:val="00C70270"/>
    <w:rsid w:val="00C70300"/>
    <w:rsid w:val="00C70EBC"/>
    <w:rsid w:val="00C73FA9"/>
    <w:rsid w:val="00C8092C"/>
    <w:rsid w:val="00C8177E"/>
    <w:rsid w:val="00C87BD8"/>
    <w:rsid w:val="00C91301"/>
    <w:rsid w:val="00C924F9"/>
    <w:rsid w:val="00C92D73"/>
    <w:rsid w:val="00C92E4E"/>
    <w:rsid w:val="00C94D0E"/>
    <w:rsid w:val="00C95E2A"/>
    <w:rsid w:val="00CA05C9"/>
    <w:rsid w:val="00CA3091"/>
    <w:rsid w:val="00CA396B"/>
    <w:rsid w:val="00CA5CEA"/>
    <w:rsid w:val="00CA699A"/>
    <w:rsid w:val="00CA785D"/>
    <w:rsid w:val="00CB4617"/>
    <w:rsid w:val="00CB70C2"/>
    <w:rsid w:val="00CC356C"/>
    <w:rsid w:val="00CC35E9"/>
    <w:rsid w:val="00CC428C"/>
    <w:rsid w:val="00CC4966"/>
    <w:rsid w:val="00CD043D"/>
    <w:rsid w:val="00CD105A"/>
    <w:rsid w:val="00CD4EC1"/>
    <w:rsid w:val="00CE71E0"/>
    <w:rsid w:val="00CE752B"/>
    <w:rsid w:val="00CF484E"/>
    <w:rsid w:val="00CF7104"/>
    <w:rsid w:val="00D0090B"/>
    <w:rsid w:val="00D026EC"/>
    <w:rsid w:val="00D05C4F"/>
    <w:rsid w:val="00D07890"/>
    <w:rsid w:val="00D079D5"/>
    <w:rsid w:val="00D12F4C"/>
    <w:rsid w:val="00D13FDD"/>
    <w:rsid w:val="00D25023"/>
    <w:rsid w:val="00D25DA8"/>
    <w:rsid w:val="00D26AF7"/>
    <w:rsid w:val="00D30BCD"/>
    <w:rsid w:val="00D363AE"/>
    <w:rsid w:val="00D3763C"/>
    <w:rsid w:val="00D423D8"/>
    <w:rsid w:val="00D51D32"/>
    <w:rsid w:val="00D522FA"/>
    <w:rsid w:val="00D554B6"/>
    <w:rsid w:val="00D67490"/>
    <w:rsid w:val="00D711AB"/>
    <w:rsid w:val="00D72F33"/>
    <w:rsid w:val="00D762CE"/>
    <w:rsid w:val="00D77A18"/>
    <w:rsid w:val="00D77C79"/>
    <w:rsid w:val="00D80951"/>
    <w:rsid w:val="00D81319"/>
    <w:rsid w:val="00D81D1E"/>
    <w:rsid w:val="00D848DC"/>
    <w:rsid w:val="00D901CD"/>
    <w:rsid w:val="00D90E79"/>
    <w:rsid w:val="00D92ECD"/>
    <w:rsid w:val="00D93E61"/>
    <w:rsid w:val="00DA6287"/>
    <w:rsid w:val="00DB0C8B"/>
    <w:rsid w:val="00DB0CD1"/>
    <w:rsid w:val="00DB107E"/>
    <w:rsid w:val="00DB153D"/>
    <w:rsid w:val="00DB6A2A"/>
    <w:rsid w:val="00DB74D8"/>
    <w:rsid w:val="00DB7F0C"/>
    <w:rsid w:val="00DC0BB2"/>
    <w:rsid w:val="00DC212C"/>
    <w:rsid w:val="00DC2205"/>
    <w:rsid w:val="00DC2465"/>
    <w:rsid w:val="00DD284C"/>
    <w:rsid w:val="00DD2958"/>
    <w:rsid w:val="00DD2AC9"/>
    <w:rsid w:val="00DD2CCB"/>
    <w:rsid w:val="00DD3285"/>
    <w:rsid w:val="00DD35C1"/>
    <w:rsid w:val="00DD48BF"/>
    <w:rsid w:val="00DD567B"/>
    <w:rsid w:val="00DD7A1E"/>
    <w:rsid w:val="00DD7B9C"/>
    <w:rsid w:val="00DE1D84"/>
    <w:rsid w:val="00DE3FFB"/>
    <w:rsid w:val="00E01024"/>
    <w:rsid w:val="00E016A3"/>
    <w:rsid w:val="00E01DC7"/>
    <w:rsid w:val="00E02598"/>
    <w:rsid w:val="00E10D4C"/>
    <w:rsid w:val="00E11C60"/>
    <w:rsid w:val="00E1615F"/>
    <w:rsid w:val="00E22EDB"/>
    <w:rsid w:val="00E23306"/>
    <w:rsid w:val="00E26A28"/>
    <w:rsid w:val="00E32186"/>
    <w:rsid w:val="00E32BE5"/>
    <w:rsid w:val="00E334EC"/>
    <w:rsid w:val="00E33D40"/>
    <w:rsid w:val="00E36D09"/>
    <w:rsid w:val="00E41CFA"/>
    <w:rsid w:val="00E429CA"/>
    <w:rsid w:val="00E51ED8"/>
    <w:rsid w:val="00E53B63"/>
    <w:rsid w:val="00E549A5"/>
    <w:rsid w:val="00E570A1"/>
    <w:rsid w:val="00E668E4"/>
    <w:rsid w:val="00E706FD"/>
    <w:rsid w:val="00E709DE"/>
    <w:rsid w:val="00E729C6"/>
    <w:rsid w:val="00E73D1E"/>
    <w:rsid w:val="00E74231"/>
    <w:rsid w:val="00E7426B"/>
    <w:rsid w:val="00E757E8"/>
    <w:rsid w:val="00E809B8"/>
    <w:rsid w:val="00E83287"/>
    <w:rsid w:val="00E83909"/>
    <w:rsid w:val="00E86AC7"/>
    <w:rsid w:val="00E93FE8"/>
    <w:rsid w:val="00EA0727"/>
    <w:rsid w:val="00EB0C0C"/>
    <w:rsid w:val="00EB108E"/>
    <w:rsid w:val="00EB1106"/>
    <w:rsid w:val="00EB115A"/>
    <w:rsid w:val="00EB11FF"/>
    <w:rsid w:val="00EB19B7"/>
    <w:rsid w:val="00EB385F"/>
    <w:rsid w:val="00EB6784"/>
    <w:rsid w:val="00EB6873"/>
    <w:rsid w:val="00EB6ED0"/>
    <w:rsid w:val="00EC2135"/>
    <w:rsid w:val="00EC638A"/>
    <w:rsid w:val="00ED375E"/>
    <w:rsid w:val="00ED3BAA"/>
    <w:rsid w:val="00ED4BC5"/>
    <w:rsid w:val="00ED693B"/>
    <w:rsid w:val="00ED6A6A"/>
    <w:rsid w:val="00ED72BB"/>
    <w:rsid w:val="00EE0669"/>
    <w:rsid w:val="00EE0E6A"/>
    <w:rsid w:val="00EE3C4D"/>
    <w:rsid w:val="00EE51C8"/>
    <w:rsid w:val="00EF440E"/>
    <w:rsid w:val="00EF502A"/>
    <w:rsid w:val="00F022F9"/>
    <w:rsid w:val="00F028B6"/>
    <w:rsid w:val="00F05CC9"/>
    <w:rsid w:val="00F11848"/>
    <w:rsid w:val="00F119B8"/>
    <w:rsid w:val="00F11EB6"/>
    <w:rsid w:val="00F12232"/>
    <w:rsid w:val="00F12DCF"/>
    <w:rsid w:val="00F12FC1"/>
    <w:rsid w:val="00F13195"/>
    <w:rsid w:val="00F132CD"/>
    <w:rsid w:val="00F15AC3"/>
    <w:rsid w:val="00F17CF9"/>
    <w:rsid w:val="00F25870"/>
    <w:rsid w:val="00F30B71"/>
    <w:rsid w:val="00F377F7"/>
    <w:rsid w:val="00F426CA"/>
    <w:rsid w:val="00F46A97"/>
    <w:rsid w:val="00F501F8"/>
    <w:rsid w:val="00F5090C"/>
    <w:rsid w:val="00F519E4"/>
    <w:rsid w:val="00F5749F"/>
    <w:rsid w:val="00F63640"/>
    <w:rsid w:val="00F67430"/>
    <w:rsid w:val="00F67AA1"/>
    <w:rsid w:val="00F712C9"/>
    <w:rsid w:val="00F74290"/>
    <w:rsid w:val="00F76DD2"/>
    <w:rsid w:val="00F77CA9"/>
    <w:rsid w:val="00F829AB"/>
    <w:rsid w:val="00F84D93"/>
    <w:rsid w:val="00F869EC"/>
    <w:rsid w:val="00FA1E49"/>
    <w:rsid w:val="00FA216B"/>
    <w:rsid w:val="00FA33E9"/>
    <w:rsid w:val="00FA4E30"/>
    <w:rsid w:val="00FA62B7"/>
    <w:rsid w:val="00FB7A11"/>
    <w:rsid w:val="00FC61F1"/>
    <w:rsid w:val="00FC6C92"/>
    <w:rsid w:val="00FD24CB"/>
    <w:rsid w:val="00FD6BF3"/>
    <w:rsid w:val="00FE0F14"/>
    <w:rsid w:val="00FE2BDC"/>
    <w:rsid w:val="00FE344D"/>
    <w:rsid w:val="00FE6E7C"/>
    <w:rsid w:val="00FF55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59"/>
    <w:rPr>
      <w:rFonts w:ascii="Arial" w:hAnsi="Arial"/>
      <w:spacing w:val="10"/>
      <w:sz w:val="22"/>
    </w:rPr>
  </w:style>
  <w:style w:type="paragraph" w:styleId="Ttulo1">
    <w:name w:val="heading 1"/>
    <w:basedOn w:val="Normal"/>
    <w:next w:val="Normal"/>
    <w:qFormat/>
    <w:pPr>
      <w:keepNext/>
      <w:spacing w:line="360" w:lineRule="auto"/>
      <w:jc w:val="both"/>
      <w:outlineLvl w:val="0"/>
    </w:pPr>
    <w:rPr>
      <w:sz w:val="28"/>
      <w:u w:val="single"/>
    </w:rPr>
  </w:style>
  <w:style w:type="paragraph" w:styleId="Ttulo2">
    <w:name w:val="heading 2"/>
    <w:basedOn w:val="Normal"/>
    <w:next w:val="Normal"/>
    <w:link w:val="Ttulo2Char"/>
    <w:qFormat/>
    <w:pPr>
      <w:keepNext/>
      <w:spacing w:line="360" w:lineRule="auto"/>
      <w:jc w:val="both"/>
      <w:outlineLvl w:val="1"/>
    </w:pPr>
    <w:rPr>
      <w:b/>
      <w:sz w:val="24"/>
      <w:u w:val="single"/>
    </w:rPr>
  </w:style>
  <w:style w:type="paragraph" w:styleId="Ttulo3">
    <w:name w:val="heading 3"/>
    <w:basedOn w:val="Normal"/>
    <w:next w:val="Normal"/>
    <w:qFormat/>
    <w:pPr>
      <w:keepNext/>
      <w:spacing w:before="240" w:after="60"/>
      <w:outlineLvl w:val="2"/>
    </w:pPr>
    <w:rPr>
      <w:rFonts w:ascii="Times New Roman" w:hAnsi="Times New Roman"/>
      <w:b/>
      <w:sz w:val="24"/>
    </w:rPr>
  </w:style>
  <w:style w:type="paragraph" w:styleId="Ttulo4">
    <w:name w:val="heading 4"/>
    <w:basedOn w:val="Normal"/>
    <w:next w:val="Normal"/>
    <w:qFormat/>
    <w:pPr>
      <w:keepNext/>
      <w:spacing w:before="240" w:after="60"/>
      <w:outlineLvl w:val="3"/>
    </w:pPr>
    <w:rPr>
      <w:rFonts w:ascii="Times New Roman" w:hAnsi="Times New Roman"/>
      <w:b/>
      <w:i/>
      <w:sz w:val="24"/>
    </w:rPr>
  </w:style>
  <w:style w:type="paragraph" w:styleId="Ttulo5">
    <w:name w:val="heading 5"/>
    <w:basedOn w:val="Normal"/>
    <w:next w:val="Normal"/>
    <w:qFormat/>
    <w:pPr>
      <w:keepNext/>
      <w:spacing w:line="360" w:lineRule="auto"/>
      <w:outlineLvl w:val="4"/>
    </w:pPr>
    <w:rPr>
      <w:b/>
      <w:sz w:val="24"/>
    </w:rPr>
  </w:style>
  <w:style w:type="paragraph" w:styleId="Ttulo6">
    <w:name w:val="heading 6"/>
    <w:basedOn w:val="Normal"/>
    <w:next w:val="Normal"/>
    <w:qFormat/>
    <w:pPr>
      <w:keepNext/>
      <w:spacing w:line="360" w:lineRule="auto"/>
      <w:ind w:left="1985" w:hanging="1985"/>
      <w:jc w:val="both"/>
      <w:outlineLvl w:val="5"/>
    </w:pPr>
    <w:rPr>
      <w:b/>
      <w:sz w:val="24"/>
    </w:rPr>
  </w:style>
  <w:style w:type="paragraph" w:styleId="Ttulo7">
    <w:name w:val="heading 7"/>
    <w:basedOn w:val="Normal"/>
    <w:next w:val="Normal"/>
    <w:qFormat/>
    <w:pPr>
      <w:keepNext/>
      <w:spacing w:line="360" w:lineRule="auto"/>
      <w:jc w:val="both"/>
      <w:outlineLvl w:val="6"/>
    </w:pPr>
    <w:rPr>
      <w:b/>
      <w:sz w:val="24"/>
    </w:rPr>
  </w:style>
  <w:style w:type="paragraph" w:styleId="Ttulo8">
    <w:name w:val="heading 8"/>
    <w:basedOn w:val="Normal"/>
    <w:next w:val="Normal"/>
    <w:qFormat/>
    <w:pPr>
      <w:keepNext/>
      <w:spacing w:line="360" w:lineRule="auto"/>
      <w:jc w:val="center"/>
      <w:outlineLvl w:val="7"/>
    </w:pPr>
    <w:rPr>
      <w:b/>
      <w:sz w:val="24"/>
    </w:rPr>
  </w:style>
  <w:style w:type="paragraph" w:styleId="Ttulo9">
    <w:name w:val="heading 9"/>
    <w:basedOn w:val="Normal"/>
    <w:next w:val="Normal"/>
    <w:qFormat/>
    <w:pPr>
      <w:keepNext/>
      <w:jc w:val="center"/>
      <w:outlineLvl w:val="8"/>
    </w:pPr>
    <w:rPr>
      <w:b/>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orpodetexto">
    <w:name w:val="Body Text"/>
    <w:basedOn w:val="Normal"/>
    <w:pPr>
      <w:spacing w:after="120"/>
    </w:pPr>
  </w:style>
  <w:style w:type="paragraph" w:styleId="Corpodetexto2">
    <w:name w:val="Body Text 2"/>
    <w:basedOn w:val="Normal"/>
    <w:pPr>
      <w:spacing w:line="360" w:lineRule="auto"/>
      <w:jc w:val="both"/>
    </w:pPr>
    <w:rPr>
      <w:sz w:val="24"/>
    </w:rPr>
  </w:style>
  <w:style w:type="paragraph" w:styleId="Corpodetexto3">
    <w:name w:val="Body Text 3"/>
    <w:basedOn w:val="Normal"/>
    <w:pPr>
      <w:spacing w:line="360" w:lineRule="auto"/>
      <w:jc w:val="both"/>
    </w:pPr>
    <w:rPr>
      <w:b/>
      <w:sz w:val="24"/>
    </w:rPr>
  </w:style>
  <w:style w:type="paragraph" w:styleId="Recuodecorpodetexto">
    <w:name w:val="Body Text Indent"/>
    <w:basedOn w:val="Normal"/>
    <w:pPr>
      <w:spacing w:line="360" w:lineRule="auto"/>
      <w:ind w:left="2832"/>
      <w:jc w:val="both"/>
    </w:pPr>
    <w:rPr>
      <w:sz w:val="24"/>
    </w:rPr>
  </w:style>
  <w:style w:type="paragraph" w:styleId="Recuodecorpodetexto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spacing w:line="360" w:lineRule="auto"/>
      <w:ind w:left="2880"/>
      <w:jc w:val="both"/>
    </w:pPr>
    <w:rPr>
      <w:sz w:val="24"/>
    </w:rPr>
  </w:style>
  <w:style w:type="paragraph" w:styleId="Recuodecorpodetexto3">
    <w:name w:val="Body Text Indent 3"/>
    <w:basedOn w:val="Normal"/>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296"/>
        <w:tab w:val="left" w:pos="1440"/>
        <w:tab w:val="left" w:pos="2160"/>
        <w:tab w:val="left" w:pos="0"/>
        <w:tab w:val="left" w:pos="1296"/>
        <w:tab w:val="left" w:pos="1440"/>
        <w:tab w:val="left" w:pos="2160"/>
        <w:tab w:val="left" w:pos="0"/>
        <w:tab w:val="left" w:pos="1296"/>
        <w:tab w:val="left" w:pos="1440"/>
      </w:tabs>
      <w:spacing w:line="360" w:lineRule="auto"/>
      <w:ind w:left="2124"/>
      <w:jc w:val="both"/>
    </w:pPr>
    <w:rPr>
      <w:sz w:val="24"/>
    </w:rPr>
  </w:style>
  <w:style w:type="paragraph" w:customStyle="1" w:styleId="p1">
    <w:name w:val="p1"/>
    <w:basedOn w:val="Normal"/>
    <w:pPr>
      <w:widowControl w:val="0"/>
      <w:tabs>
        <w:tab w:val="left" w:pos="2360"/>
      </w:tabs>
      <w:spacing w:line="420" w:lineRule="atLeast"/>
    </w:pPr>
    <w:rPr>
      <w:rFonts w:ascii="Times New Roman" w:hAnsi="Times New Roman"/>
      <w:snapToGrid w:val="0"/>
      <w:spacing w:val="0"/>
      <w:sz w:val="24"/>
    </w:rPr>
  </w:style>
  <w:style w:type="paragraph" w:customStyle="1" w:styleId="p2">
    <w:name w:val="p2"/>
    <w:basedOn w:val="Normal"/>
    <w:pPr>
      <w:widowControl w:val="0"/>
      <w:tabs>
        <w:tab w:val="left" w:pos="240"/>
        <w:tab w:val="left" w:pos="2360"/>
      </w:tabs>
      <w:spacing w:line="420" w:lineRule="atLeast"/>
      <w:ind w:left="1200"/>
    </w:pPr>
    <w:rPr>
      <w:rFonts w:ascii="Times New Roman" w:hAnsi="Times New Roman"/>
      <w:snapToGrid w:val="0"/>
      <w:spacing w:val="0"/>
      <w:sz w:val="24"/>
    </w:rPr>
  </w:style>
  <w:style w:type="paragraph" w:customStyle="1" w:styleId="p3">
    <w:name w:val="p3"/>
    <w:basedOn w:val="Normal"/>
    <w:pPr>
      <w:widowControl w:val="0"/>
      <w:tabs>
        <w:tab w:val="left" w:pos="560"/>
      </w:tabs>
      <w:spacing w:line="220" w:lineRule="atLeast"/>
      <w:ind w:left="1440" w:firstLine="576"/>
    </w:pPr>
    <w:rPr>
      <w:rFonts w:ascii="Times New Roman" w:hAnsi="Times New Roman"/>
      <w:snapToGrid w:val="0"/>
      <w:spacing w:val="0"/>
      <w:sz w:val="24"/>
    </w:rPr>
  </w:style>
  <w:style w:type="paragraph" w:customStyle="1" w:styleId="p4">
    <w:name w:val="p4"/>
    <w:basedOn w:val="Normal"/>
    <w:pPr>
      <w:widowControl w:val="0"/>
      <w:tabs>
        <w:tab w:val="left" w:pos="8740"/>
      </w:tabs>
      <w:spacing w:line="240" w:lineRule="atLeast"/>
      <w:ind w:left="7300"/>
      <w:jc w:val="both"/>
    </w:pPr>
    <w:rPr>
      <w:rFonts w:ascii="Times New Roman" w:hAnsi="Times New Roman"/>
      <w:snapToGrid w:val="0"/>
      <w:spacing w:val="0"/>
      <w:sz w:val="24"/>
    </w:rPr>
  </w:style>
  <w:style w:type="paragraph" w:customStyle="1" w:styleId="p5">
    <w:name w:val="p5"/>
    <w:basedOn w:val="Normal"/>
    <w:pPr>
      <w:widowControl w:val="0"/>
      <w:tabs>
        <w:tab w:val="left" w:pos="2180"/>
      </w:tabs>
      <w:spacing w:line="420" w:lineRule="atLeast"/>
      <w:jc w:val="both"/>
    </w:pPr>
    <w:rPr>
      <w:rFonts w:ascii="Times New Roman" w:hAnsi="Times New Roman"/>
      <w:snapToGrid w:val="0"/>
      <w:spacing w:val="0"/>
      <w:sz w:val="24"/>
    </w:rPr>
  </w:style>
  <w:style w:type="paragraph" w:customStyle="1" w:styleId="p6">
    <w:name w:val="p6"/>
    <w:basedOn w:val="Normal"/>
    <w:pPr>
      <w:widowControl w:val="0"/>
      <w:tabs>
        <w:tab w:val="left" w:pos="720"/>
      </w:tabs>
      <w:spacing w:line="420" w:lineRule="atLeast"/>
      <w:jc w:val="both"/>
    </w:pPr>
    <w:rPr>
      <w:rFonts w:ascii="Times New Roman" w:hAnsi="Times New Roman"/>
      <w:snapToGrid w:val="0"/>
      <w:spacing w:val="0"/>
      <w:sz w:val="24"/>
    </w:rPr>
  </w:style>
  <w:style w:type="paragraph" w:customStyle="1" w:styleId="p7">
    <w:name w:val="p7"/>
    <w:basedOn w:val="Normal"/>
    <w:pPr>
      <w:widowControl w:val="0"/>
      <w:tabs>
        <w:tab w:val="left" w:pos="2180"/>
      </w:tabs>
      <w:spacing w:line="420" w:lineRule="atLeast"/>
      <w:ind w:left="1440" w:firstLine="2160"/>
      <w:jc w:val="both"/>
    </w:pPr>
    <w:rPr>
      <w:rFonts w:ascii="Times New Roman" w:hAnsi="Times New Roman"/>
      <w:snapToGrid w:val="0"/>
      <w:spacing w:val="0"/>
      <w:sz w:val="24"/>
    </w:rPr>
  </w:style>
  <w:style w:type="paragraph" w:customStyle="1" w:styleId="p10">
    <w:name w:val="p10"/>
    <w:basedOn w:val="Normal"/>
    <w:pPr>
      <w:widowControl w:val="0"/>
      <w:tabs>
        <w:tab w:val="left" w:pos="2880"/>
        <w:tab w:val="left" w:pos="3880"/>
      </w:tabs>
      <w:spacing w:line="320" w:lineRule="atLeast"/>
      <w:ind w:left="1440" w:firstLine="1008"/>
      <w:jc w:val="both"/>
    </w:pPr>
    <w:rPr>
      <w:rFonts w:ascii="Times New Roman" w:hAnsi="Times New Roman"/>
      <w:snapToGrid w:val="0"/>
      <w:spacing w:val="0"/>
      <w:sz w:val="24"/>
    </w:rPr>
  </w:style>
  <w:style w:type="paragraph" w:customStyle="1" w:styleId="p8">
    <w:name w:val="p8"/>
    <w:basedOn w:val="Normal"/>
    <w:pPr>
      <w:widowControl w:val="0"/>
      <w:tabs>
        <w:tab w:val="left" w:pos="720"/>
      </w:tabs>
      <w:spacing w:line="320" w:lineRule="atLeast"/>
      <w:jc w:val="both"/>
    </w:pPr>
    <w:rPr>
      <w:rFonts w:ascii="Times New Roman" w:hAnsi="Times New Roman"/>
      <w:snapToGrid w:val="0"/>
      <w:spacing w:val="0"/>
      <w:sz w:val="24"/>
    </w:rPr>
  </w:style>
  <w:style w:type="paragraph" w:customStyle="1" w:styleId="p9">
    <w:name w:val="p9"/>
    <w:basedOn w:val="Normal"/>
    <w:pPr>
      <w:widowControl w:val="0"/>
      <w:tabs>
        <w:tab w:val="left" w:pos="560"/>
      </w:tabs>
      <w:spacing w:line="320" w:lineRule="atLeast"/>
      <w:ind w:left="880"/>
      <w:jc w:val="both"/>
    </w:pPr>
    <w:rPr>
      <w:rFonts w:ascii="Times New Roman" w:hAnsi="Times New Roman"/>
      <w:snapToGrid w:val="0"/>
      <w:spacing w:val="0"/>
      <w:sz w:val="24"/>
    </w:rPr>
  </w:style>
  <w:style w:type="paragraph" w:customStyle="1" w:styleId="p11">
    <w:name w:val="p11"/>
    <w:basedOn w:val="Normal"/>
    <w:pPr>
      <w:widowControl w:val="0"/>
      <w:tabs>
        <w:tab w:val="left" w:pos="560"/>
        <w:tab w:val="left" w:pos="1420"/>
      </w:tabs>
      <w:spacing w:line="320" w:lineRule="atLeast"/>
      <w:ind w:left="864" w:firstLine="864"/>
      <w:jc w:val="both"/>
    </w:pPr>
    <w:rPr>
      <w:rFonts w:ascii="Times New Roman" w:hAnsi="Times New Roman"/>
      <w:snapToGrid w:val="0"/>
      <w:spacing w:val="0"/>
      <w:sz w:val="24"/>
    </w:rPr>
  </w:style>
  <w:style w:type="paragraph" w:customStyle="1" w:styleId="p15">
    <w:name w:val="p15"/>
    <w:basedOn w:val="Normal"/>
    <w:pPr>
      <w:widowControl w:val="0"/>
      <w:tabs>
        <w:tab w:val="left" w:pos="720"/>
      </w:tabs>
      <w:spacing w:line="320" w:lineRule="atLeast"/>
      <w:jc w:val="both"/>
    </w:pPr>
    <w:rPr>
      <w:rFonts w:ascii="Times New Roman" w:hAnsi="Times New Roman"/>
      <w:snapToGrid w:val="0"/>
      <w:spacing w:val="0"/>
      <w:sz w:val="24"/>
    </w:rPr>
  </w:style>
  <w:style w:type="paragraph" w:customStyle="1" w:styleId="p0">
    <w:name w:val="p0"/>
    <w:basedOn w:val="Normal"/>
    <w:pPr>
      <w:widowControl w:val="0"/>
      <w:tabs>
        <w:tab w:val="left" w:pos="720"/>
      </w:tabs>
      <w:spacing w:line="240" w:lineRule="atLeast"/>
      <w:jc w:val="both"/>
    </w:pPr>
    <w:rPr>
      <w:rFonts w:ascii="Times New Roman" w:hAnsi="Times New Roman"/>
      <w:snapToGrid w:val="0"/>
      <w:spacing w:val="0"/>
      <w:sz w:val="24"/>
    </w:rPr>
  </w:style>
  <w:style w:type="paragraph" w:customStyle="1" w:styleId="p17">
    <w:name w:val="p17"/>
    <w:basedOn w:val="Normal"/>
    <w:pPr>
      <w:widowControl w:val="0"/>
      <w:tabs>
        <w:tab w:val="left" w:pos="720"/>
      </w:tabs>
      <w:spacing w:line="200" w:lineRule="atLeast"/>
      <w:jc w:val="both"/>
    </w:pPr>
    <w:rPr>
      <w:rFonts w:ascii="Times New Roman" w:hAnsi="Times New Roman"/>
      <w:snapToGrid w:val="0"/>
      <w:spacing w:val="0"/>
      <w:sz w:val="24"/>
    </w:rPr>
  </w:style>
  <w:style w:type="paragraph" w:customStyle="1" w:styleId="Identificao">
    <w:name w:val="Identificação"/>
    <w:basedOn w:val="Normal"/>
    <w:pPr>
      <w:jc w:val="both"/>
    </w:pPr>
    <w:rPr>
      <w:rFonts w:ascii="Courier New" w:hAnsi="Courier New"/>
      <w:snapToGrid w:val="0"/>
      <w:color w:val="000000"/>
      <w:spacing w:val="0"/>
      <w:sz w:val="24"/>
    </w:rPr>
  </w:style>
  <w:style w:type="paragraph" w:customStyle="1" w:styleId="ItemSDI1">
    <w:name w:val="ItemSDI1"/>
    <w:next w:val="Normal"/>
    <w:pPr>
      <w:keepNext/>
      <w:keepLines/>
      <w:numPr>
        <w:numId w:val="4"/>
      </w:numPr>
      <w:jc w:val="both"/>
    </w:pPr>
    <w:rPr>
      <w:b/>
      <w:sz w:val="28"/>
    </w:rPr>
  </w:style>
  <w:style w:type="paragraph" w:customStyle="1" w:styleId="Inserido1">
    <w:name w:val="Inserido1"/>
    <w:basedOn w:val="Normal"/>
    <w:next w:val="ItemSDI1"/>
    <w:pPr>
      <w:keepNext/>
      <w:keepLines/>
      <w:spacing w:after="40"/>
      <w:ind w:left="851"/>
    </w:pPr>
    <w:rPr>
      <w:rFonts w:ascii="Times New Roman" w:hAnsi="Times New Roman"/>
      <w:i/>
      <w:noProof/>
      <w:spacing w:val="0"/>
      <w:sz w:val="28"/>
    </w:rPr>
  </w:style>
  <w:style w:type="character" w:styleId="Forte">
    <w:name w:val="Strong"/>
    <w:qFormat/>
    <w:rPr>
      <w:b/>
    </w:rPr>
  </w:style>
  <w:style w:type="paragraph" w:customStyle="1" w:styleId="c2">
    <w:name w:val="c2"/>
    <w:basedOn w:val="Normal"/>
    <w:pPr>
      <w:widowControl w:val="0"/>
      <w:spacing w:line="240" w:lineRule="atLeast"/>
      <w:jc w:val="center"/>
    </w:pPr>
    <w:rPr>
      <w:rFonts w:ascii="Times New Roman" w:hAnsi="Times New Roman"/>
      <w:snapToGrid w:val="0"/>
      <w:spacing w:val="0"/>
      <w:sz w:val="24"/>
    </w:rPr>
  </w:style>
  <w:style w:type="paragraph" w:customStyle="1" w:styleId="t16">
    <w:name w:val="t16"/>
    <w:basedOn w:val="Normal"/>
    <w:pPr>
      <w:widowControl w:val="0"/>
      <w:spacing w:line="240" w:lineRule="atLeast"/>
    </w:pPr>
    <w:rPr>
      <w:rFonts w:ascii="Times New Roman" w:hAnsi="Times New Roman"/>
      <w:snapToGrid w:val="0"/>
      <w:spacing w:val="0"/>
      <w:sz w:val="24"/>
    </w:rPr>
  </w:style>
  <w:style w:type="paragraph" w:styleId="Textodenotaderodap">
    <w:name w:val="footnote text"/>
    <w:basedOn w:val="Normal"/>
    <w:semiHidden/>
    <w:rsid w:val="00416C6C"/>
    <w:rPr>
      <w:sz w:val="20"/>
    </w:rPr>
  </w:style>
  <w:style w:type="character" w:styleId="Refdenotaderodap">
    <w:name w:val="footnote reference"/>
    <w:semiHidden/>
    <w:rsid w:val="00416C6C"/>
    <w:rPr>
      <w:vertAlign w:val="superscript"/>
    </w:rPr>
  </w:style>
  <w:style w:type="paragraph" w:customStyle="1" w:styleId="HTMLPreformatted">
    <w:name w:val="HTML Preformatted"/>
    <w:basedOn w:val="Normal"/>
    <w:rsid w:val="008A2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pacing w:val="0"/>
      <w:sz w:val="20"/>
    </w:rPr>
  </w:style>
  <w:style w:type="paragraph" w:customStyle="1" w:styleId="BodyText2">
    <w:name w:val="Body Text 2"/>
    <w:basedOn w:val="Normal"/>
    <w:rsid w:val="009A7F75"/>
    <w:pPr>
      <w:spacing w:line="360" w:lineRule="auto"/>
      <w:jc w:val="both"/>
    </w:pPr>
    <w:rPr>
      <w:rFonts w:ascii="Courier New" w:hAnsi="Courier New"/>
      <w:sz w:val="24"/>
    </w:rPr>
  </w:style>
  <w:style w:type="paragraph" w:customStyle="1" w:styleId="p18">
    <w:name w:val="p18"/>
    <w:basedOn w:val="Normal"/>
    <w:rsid w:val="00CC356C"/>
    <w:pPr>
      <w:widowControl w:val="0"/>
      <w:tabs>
        <w:tab w:val="left" w:pos="420"/>
      </w:tabs>
      <w:spacing w:line="240" w:lineRule="atLeast"/>
      <w:ind w:left="1020"/>
    </w:pPr>
    <w:rPr>
      <w:rFonts w:ascii="Times New Roman" w:hAnsi="Times New Roman"/>
      <w:snapToGrid w:val="0"/>
      <w:spacing w:val="0"/>
      <w:sz w:val="24"/>
    </w:rPr>
  </w:style>
  <w:style w:type="paragraph" w:customStyle="1" w:styleId="Corpo">
    <w:name w:val="Corpo"/>
    <w:link w:val="CorpoChar"/>
    <w:rsid w:val="004A2755"/>
    <w:pPr>
      <w:widowControl w:val="0"/>
      <w:autoSpaceDE w:val="0"/>
      <w:autoSpaceDN w:val="0"/>
      <w:spacing w:line="360" w:lineRule="atLeast"/>
      <w:ind w:firstLine="1440"/>
      <w:jc w:val="both"/>
    </w:pPr>
    <w:rPr>
      <w:rFonts w:ascii="Courier New" w:hAnsi="Courier New" w:cs="Courier New"/>
      <w:color w:val="000000"/>
      <w:sz w:val="24"/>
      <w:szCs w:val="24"/>
    </w:rPr>
  </w:style>
  <w:style w:type="paragraph" w:styleId="NormalWeb">
    <w:name w:val="Normal (Web)"/>
    <w:basedOn w:val="Normal"/>
    <w:rsid w:val="00DB107E"/>
    <w:pPr>
      <w:spacing w:before="100" w:beforeAutospacing="1" w:after="119"/>
    </w:pPr>
    <w:rPr>
      <w:rFonts w:ascii="Times New Roman" w:hAnsi="Times New Roman"/>
      <w:spacing w:val="0"/>
      <w:sz w:val="24"/>
      <w:szCs w:val="24"/>
    </w:rPr>
  </w:style>
  <w:style w:type="paragraph" w:customStyle="1" w:styleId="Transcrio">
    <w:name w:val="Transcrição"/>
    <w:basedOn w:val="Corpo"/>
    <w:rsid w:val="001A72B3"/>
    <w:pPr>
      <w:widowControl/>
      <w:ind w:left="2551" w:firstLine="567"/>
    </w:pPr>
    <w:rPr>
      <w:rFonts w:ascii="Times New Roman" w:hAnsi="Times New Roman" w:cs="Times New Roman"/>
      <w:lang w:val="en-US"/>
    </w:rPr>
  </w:style>
  <w:style w:type="paragraph" w:customStyle="1" w:styleId="Ementa">
    <w:name w:val="Ementa"/>
    <w:basedOn w:val="Normal"/>
    <w:rsid w:val="00900473"/>
    <w:pPr>
      <w:autoSpaceDE w:val="0"/>
      <w:autoSpaceDN w:val="0"/>
      <w:ind w:left="4536"/>
      <w:jc w:val="both"/>
    </w:pPr>
    <w:rPr>
      <w:rFonts w:ascii="Courier New" w:hAnsi="Courier New" w:cs="Courier New"/>
      <w:color w:val="000000"/>
      <w:spacing w:val="0"/>
      <w:sz w:val="24"/>
      <w:szCs w:val="24"/>
      <w:lang w:val="en-US"/>
    </w:rPr>
  </w:style>
  <w:style w:type="paragraph" w:customStyle="1" w:styleId="Voto">
    <w:name w:val="Voto"/>
    <w:basedOn w:val="Corpo"/>
    <w:next w:val="Corpo"/>
    <w:rsid w:val="003B78AB"/>
    <w:pPr>
      <w:widowControl/>
      <w:ind w:firstLine="2551"/>
    </w:pPr>
    <w:rPr>
      <w:lang w:val="en-US"/>
    </w:rPr>
  </w:style>
  <w:style w:type="character" w:styleId="Hyperlink">
    <w:name w:val="Hyperlink"/>
    <w:rsid w:val="000C154A"/>
    <w:rPr>
      <w:color w:val="0000FF"/>
      <w:u w:val="single"/>
    </w:rPr>
  </w:style>
  <w:style w:type="character" w:customStyle="1" w:styleId="f11">
    <w:name w:val="f11"/>
    <w:rsid w:val="000C154A"/>
    <w:rPr>
      <w:rFonts w:ascii="Courier New" w:hAnsi="Courier New" w:cs="Courier New"/>
      <w:color w:val="000000"/>
      <w:sz w:val="24"/>
      <w:szCs w:val="24"/>
    </w:rPr>
  </w:style>
  <w:style w:type="character" w:customStyle="1" w:styleId="CorpoChar">
    <w:name w:val="Corpo Char"/>
    <w:link w:val="Corpo"/>
    <w:rsid w:val="000E1B08"/>
    <w:rPr>
      <w:rFonts w:ascii="Courier New" w:hAnsi="Courier New" w:cs="Courier New"/>
      <w:color w:val="000000"/>
      <w:sz w:val="24"/>
      <w:szCs w:val="24"/>
      <w:lang w:val="pt-BR" w:eastAsia="pt-BR" w:bidi="ar-SA"/>
    </w:rPr>
  </w:style>
  <w:style w:type="character" w:customStyle="1" w:styleId="Ttulo2Char">
    <w:name w:val="Título 2 Char"/>
    <w:link w:val="Ttulo2"/>
    <w:rsid w:val="007403F3"/>
    <w:rPr>
      <w:rFonts w:ascii="Arial" w:hAnsi="Arial"/>
      <w:b/>
      <w:spacing w:val="10"/>
      <w:sz w:val="24"/>
      <w:u w:val="single"/>
    </w:rPr>
  </w:style>
  <w:style w:type="paragraph" w:styleId="Textodebalo">
    <w:name w:val="Balloon Text"/>
    <w:basedOn w:val="Normal"/>
    <w:link w:val="TextodebaloChar"/>
    <w:uiPriority w:val="99"/>
    <w:semiHidden/>
    <w:unhideWhenUsed/>
    <w:rsid w:val="001B3510"/>
    <w:rPr>
      <w:rFonts w:ascii="Segoe UI" w:hAnsi="Segoe UI" w:cs="Segoe UI"/>
      <w:sz w:val="18"/>
      <w:szCs w:val="18"/>
    </w:rPr>
  </w:style>
  <w:style w:type="character" w:customStyle="1" w:styleId="TextodebaloChar">
    <w:name w:val="Texto de balão Char"/>
    <w:link w:val="Textodebalo"/>
    <w:uiPriority w:val="99"/>
    <w:semiHidden/>
    <w:rsid w:val="001B3510"/>
    <w:rPr>
      <w:rFonts w:ascii="Segoe UI" w:hAnsi="Segoe UI" w:cs="Segoe UI"/>
      <w:spacing w:val="1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io@bpcadvogados.ad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OS\TORRE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TORRES</Template>
  <TotalTime>1</TotalTime>
  <Pages>8</Pages>
  <Words>1708</Words>
  <Characters>9228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Ofício b</vt:lpstr>
    </vt:vector>
  </TitlesOfParts>
  <Company/>
  <LinksUpToDate>false</LinksUpToDate>
  <CharactersWithSpaces>10915</CharactersWithSpaces>
  <SharedDoc>false</SharedDoc>
  <HLinks>
    <vt:vector size="6" baseType="variant">
      <vt:variant>
        <vt:i4>4849700</vt:i4>
      </vt:variant>
      <vt:variant>
        <vt:i4>0</vt:i4>
      </vt:variant>
      <vt:variant>
        <vt:i4>0</vt:i4>
      </vt:variant>
      <vt:variant>
        <vt:i4>5</vt:i4>
      </vt:variant>
      <vt:variant>
        <vt:lpwstr>mailto:caio@bpcadvogados.adv.br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b</dc:title>
  <dc:creator>DR. TORRES</dc:creator>
  <cp:lastModifiedBy>FEEBSC1</cp:lastModifiedBy>
  <cp:revision>2</cp:revision>
  <cp:lastPrinted>2017-02-09T13:24:00Z</cp:lastPrinted>
  <dcterms:created xsi:type="dcterms:W3CDTF">2017-02-13T12:53:00Z</dcterms:created>
  <dcterms:modified xsi:type="dcterms:W3CDTF">2017-02-13T12:53:00Z</dcterms:modified>
</cp:coreProperties>
</file>